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hanging="0" w:start="0" w:end="0"/>
        <w:contextualSpacing/>
        <w:jc w:val="end"/>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hanging="0" w:start="0" w:end="0"/>
        <w:contextualSpacing/>
        <w:jc w:val="center"/>
        <w:rPr>
          <w:rFonts w:ascii="Times New Roman" w:hAnsi="Times New Roman" w:cs="Times New Roman"/>
          <w:b/>
          <w:sz w:val="24"/>
          <w:szCs w:val="24"/>
        </w:rPr>
      </w:pPr>
      <w:r>
        <w:rPr>
          <w:rFonts w:cs="Times New Roman" w:ascii="Times New Roman" w:hAnsi="Times New Roman"/>
          <w:b/>
          <w:sz w:val="24"/>
          <w:szCs w:val="24"/>
        </w:rPr>
        <w:t>ТЕХНИЧЕСКОЕ ЗАДАНИЕ</w:t>
      </w:r>
    </w:p>
    <w:p>
      <w:pPr>
        <w:pStyle w:val="Normal"/>
        <w:spacing w:lineRule="auto" w:line="240" w:before="0" w:after="0"/>
        <w:ind w:hanging="0" w:start="0" w:end="0"/>
        <w:contextualSpacing/>
        <w:jc w:val="center"/>
        <w:rPr>
          <w:rFonts w:ascii="Times New Roman" w:hAnsi="Times New Roman" w:cs="Times New Roman"/>
          <w:b/>
          <w:sz w:val="24"/>
          <w:szCs w:val="24"/>
        </w:rPr>
      </w:pPr>
      <w:r>
        <w:rPr>
          <w:rFonts w:cs="Times New Roman" w:ascii="Times New Roman" w:hAnsi="Times New Roman"/>
          <w:b/>
          <w:sz w:val="24"/>
          <w:szCs w:val="24"/>
        </w:rPr>
        <w:t>на оказание услуг по содержанию и обеспечению функционирования автоматических пунктов весового и габаритного контроля транспортных средств на автомобильных дорогах общего пользования регионального значения Курганской области</w:t>
      </w:r>
    </w:p>
    <w:p>
      <w:pPr>
        <w:pStyle w:val="Normal"/>
        <w:widowControl w:val="false"/>
        <w:spacing w:lineRule="auto" w:line="240"/>
        <w:rPr>
          <w:rFonts w:ascii="Times New Roman" w:hAnsi="Times New Roman" w:cs="Times New Roman"/>
          <w:b/>
          <w:sz w:val="24"/>
          <w:szCs w:val="24"/>
        </w:rPr>
      </w:pPr>
      <w:r>
        <w:rPr>
          <w:rFonts w:cs="Times New Roman" w:ascii="Times New Roman" w:hAnsi="Times New Roman"/>
          <w:b/>
          <w:sz w:val="24"/>
          <w:szCs w:val="24"/>
        </w:rPr>
        <w:t xml:space="preserve">                                                                                                                                                                                                                                   </w:t>
      </w:r>
    </w:p>
    <w:p>
      <w:pPr>
        <w:pStyle w:val="ListParagraph"/>
        <w:spacing w:lineRule="auto" w:line="240"/>
        <w:jc w:val="center"/>
        <w:rPr>
          <w:rFonts w:ascii="Times New Roman" w:hAnsi="Times New Roman" w:cs="Times New Roman"/>
          <w:b/>
          <w:sz w:val="24"/>
          <w:szCs w:val="24"/>
        </w:rPr>
      </w:pPr>
      <w:r>
        <w:rPr>
          <w:rFonts w:cs="Times New Roman" w:ascii="Times New Roman" w:hAnsi="Times New Roman"/>
          <w:b/>
          <w:sz w:val="24"/>
          <w:szCs w:val="24"/>
        </w:rPr>
        <w:t>1. Общие положения.</w:t>
      </w:r>
    </w:p>
    <w:p>
      <w:pPr>
        <w:pStyle w:val="ListParagraph"/>
        <w:spacing w:lineRule="auto" w:line="240"/>
        <w:jc w:val="center"/>
        <w:rPr>
          <w:rFonts w:ascii="Times New Roman" w:hAnsi="Times New Roman" w:cs="Times New Roman"/>
          <w:b/>
          <w:sz w:val="24"/>
          <w:szCs w:val="24"/>
        </w:rPr>
      </w:pPr>
      <w:r>
        <w:rPr>
          <w:rFonts w:cs="Times New Roman" w:ascii="Times New Roman" w:hAnsi="Times New Roman"/>
          <w:b/>
          <w:sz w:val="24"/>
          <w:szCs w:val="24"/>
        </w:rPr>
        <w:t xml:space="preserve">                                                                                                                                  </w:t>
      </w:r>
    </w:p>
    <w:p>
      <w:pPr>
        <w:pStyle w:val="Normal"/>
        <w:tabs>
          <w:tab w:val="clear" w:pos="720"/>
          <w:tab w:val="left" w:pos="1082" w:leader="none"/>
        </w:tabs>
        <w:spacing w:lineRule="auto" w:line="240" w:before="0" w:after="160"/>
        <w:ind w:firstLine="737" w:start="0" w:end="0"/>
        <w:rPr>
          <w:rFonts w:ascii="Times New Roman" w:hAnsi="Times New Roman"/>
          <w:sz w:val="24"/>
          <w:szCs w:val="24"/>
        </w:rPr>
      </w:pPr>
      <w:bookmarkStart w:id="0" w:name="_Toc466304856"/>
      <w:bookmarkStart w:id="1" w:name="_Toc468906935"/>
      <w:r>
        <w:rPr>
          <w:rFonts w:cs="Times New Roman" w:ascii="Times New Roman" w:hAnsi="Times New Roman"/>
          <w:bCs/>
          <w:sz w:val="24"/>
          <w:szCs w:val="24"/>
        </w:rPr>
        <w:t xml:space="preserve">Целью оказания услуг </w:t>
      </w:r>
      <w:bookmarkEnd w:id="0"/>
      <w:bookmarkEnd w:id="1"/>
      <w:r>
        <w:rPr>
          <w:rFonts w:cs="Times New Roman" w:ascii="Times New Roman" w:hAnsi="Times New Roman"/>
          <w:bCs/>
          <w:sz w:val="24"/>
          <w:szCs w:val="24"/>
        </w:rPr>
        <w:t>по содержанию и обслуживанию является:</w:t>
      </w:r>
    </w:p>
    <w:p>
      <w:pPr>
        <w:pStyle w:val="ListParagraph"/>
        <w:tabs>
          <w:tab w:val="clear" w:pos="720"/>
          <w:tab w:val="left" w:pos="739" w:leader="none"/>
        </w:tabs>
        <w:spacing w:lineRule="auto" w:line="240" w:before="0" w:after="160"/>
        <w:ind w:firstLine="737" w:start="0" w:end="0"/>
        <w:contextualSpacing/>
        <w:rPr>
          <w:rFonts w:ascii="Times New Roman" w:hAnsi="Times New Roman" w:cs="Times New Roman"/>
          <w:bCs/>
          <w:sz w:val="24"/>
          <w:szCs w:val="24"/>
        </w:rPr>
      </w:pPr>
      <w:r>
        <w:rPr>
          <w:rFonts w:cs="Times New Roman" w:ascii="Times New Roman" w:hAnsi="Times New Roman"/>
          <w:bCs/>
          <w:sz w:val="24"/>
          <w:szCs w:val="24"/>
        </w:rPr>
        <w:t>- поддержание работоспособности системы в рабочем состоянии в режиме 24 часа в сутки 7 дней в неделю 365 дней в году в течение всего срока действия Договора;</w:t>
      </w:r>
    </w:p>
    <w:p>
      <w:pPr>
        <w:pStyle w:val="Normal"/>
        <w:spacing w:lineRule="auto" w:line="240"/>
        <w:ind w:firstLine="709" w:start="0" w:end="0"/>
        <w:rPr>
          <w:rFonts w:ascii="Times New Roman" w:hAnsi="Times New Roman" w:cs="Times New Roman"/>
          <w:bCs/>
          <w:sz w:val="24"/>
          <w:szCs w:val="24"/>
        </w:rPr>
      </w:pPr>
      <w:r>
        <w:rPr>
          <w:rFonts w:cs="Times New Roman" w:ascii="Times New Roman" w:hAnsi="Times New Roman"/>
          <w:bCs/>
          <w:sz w:val="24"/>
          <w:szCs w:val="24"/>
        </w:rPr>
        <w:t>- поддержание функциональных и технических характеристик системы в установленном рабочем диапазоне, согласно технической документации на элементы системы, путем обеспечения и своевременного проведения регламентированных работ по техническому обслуживанию, оперативному восстановлению работоспособности элементов системы при сбоях и отказах в работе технических и программных средств.</w:t>
      </w:r>
    </w:p>
    <w:p>
      <w:pPr>
        <w:pStyle w:val="Normal"/>
        <w:spacing w:lineRule="auto" w:line="240"/>
        <w:ind w:firstLine="709" w:start="0" w:end="0"/>
        <w:rPr>
          <w:rFonts w:ascii="Times New Roman" w:hAnsi="Times New Roman" w:cs="Times New Roman"/>
          <w:sz w:val="24"/>
          <w:szCs w:val="24"/>
        </w:rPr>
      </w:pPr>
      <w:r>
        <w:rPr>
          <w:rFonts w:cs="Times New Roman" w:ascii="Times New Roman" w:hAnsi="Times New Roman"/>
          <w:sz w:val="24"/>
          <w:szCs w:val="24"/>
        </w:rPr>
        <w:t xml:space="preserve">                                                                                                                                             </w:t>
      </w:r>
    </w:p>
    <w:p>
      <w:pPr>
        <w:pStyle w:val="Normal"/>
        <w:widowControl/>
        <w:tabs>
          <w:tab w:val="clear" w:pos="720"/>
          <w:tab w:val="left" w:pos="1082" w:leader="none"/>
        </w:tabs>
        <w:bidi w:val="0"/>
        <w:spacing w:lineRule="auto" w:line="240" w:before="0" w:after="160"/>
        <w:ind w:firstLine="737" w:start="0" w:end="0"/>
        <w:contextualSpacing/>
        <w:jc w:val="both"/>
        <w:rPr>
          <w:rFonts w:ascii="Times New Roman" w:hAnsi="Times New Roman" w:cs="Times New Roman"/>
          <w:bCs/>
          <w:sz w:val="24"/>
          <w:szCs w:val="24"/>
        </w:rPr>
      </w:pPr>
      <w:r>
        <w:rPr>
          <w:rFonts w:cs="Times New Roman" w:ascii="Times New Roman" w:hAnsi="Times New Roman"/>
          <w:bCs/>
          <w:sz w:val="24"/>
          <w:szCs w:val="24"/>
        </w:rPr>
        <w:t>Места оказания услуг приведены в Таблице № 1.</w:t>
      </w:r>
    </w:p>
    <w:p>
      <w:pPr>
        <w:pStyle w:val="Normal"/>
        <w:widowControl/>
        <w:bidi w:val="0"/>
        <w:spacing w:lineRule="auto" w:line="240" w:before="0" w:after="0"/>
        <w:ind w:firstLine="794" w:start="0" w:end="0"/>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t>Таблица № 1 – Места оказания услуг</w:t>
      </w:r>
    </w:p>
    <w:tbl>
      <w:tblPr>
        <w:tblW w:w="10035" w:type="dxa"/>
        <w:jc w:val="start"/>
        <w:tblInd w:w="-12" w:type="dxa"/>
        <w:tblLayout w:type="fixed"/>
        <w:tblCellMar>
          <w:top w:w="0" w:type="dxa"/>
          <w:start w:w="108" w:type="dxa"/>
          <w:bottom w:w="0" w:type="dxa"/>
          <w:end w:w="108" w:type="dxa"/>
        </w:tblCellMar>
      </w:tblPr>
      <w:tblGrid>
        <w:gridCol w:w="569"/>
        <w:gridCol w:w="7306"/>
        <w:gridCol w:w="2160"/>
      </w:tblGrid>
      <w:tr>
        <w:trPr>
          <w:trHeight w:val="450"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b/>
                <w:sz w:val="24"/>
                <w:szCs w:val="24"/>
              </w:rPr>
            </w:pPr>
            <w:r>
              <w:rPr>
                <w:rFonts w:ascii="Times New Roman" w:hAnsi="Times New Roman"/>
                <w:b/>
                <w:sz w:val="24"/>
                <w:szCs w:val="24"/>
              </w:rPr>
              <w:t>№</w:t>
            </w:r>
          </w:p>
          <w:p>
            <w:pPr>
              <w:pStyle w:val="Normal"/>
              <w:widowControl w:val="false"/>
              <w:tabs>
                <w:tab w:val="clear" w:pos="720"/>
                <w:tab w:val="left" w:pos="6804" w:leader="none"/>
              </w:tabs>
              <w:suppressAutoHyphens w:val="true"/>
              <w:ind w:hanging="0" w:start="0" w:end="0"/>
              <w:jc w:val="center"/>
              <w:rPr>
                <w:rFonts w:ascii="Times New Roman" w:hAnsi="Times New Roman"/>
                <w:b/>
                <w:sz w:val="24"/>
                <w:szCs w:val="24"/>
              </w:rPr>
            </w:pPr>
            <w:r>
              <w:rPr>
                <w:rFonts w:ascii="Times New Roman" w:hAnsi="Times New Roman"/>
                <w:b/>
                <w:sz w:val="24"/>
                <w:szCs w:val="24"/>
              </w:rPr>
              <w:t>п/п</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b/>
                <w:sz w:val="24"/>
                <w:szCs w:val="24"/>
              </w:rPr>
              <w:t xml:space="preserve">Адрес </w:t>
            </w:r>
            <w:r>
              <w:rPr>
                <w:rFonts w:ascii="Times New Roman" w:hAnsi="Times New Roman"/>
                <w:b/>
                <w:bCs/>
                <w:sz w:val="24"/>
                <w:szCs w:val="24"/>
              </w:rPr>
              <w:t>расположения</w:t>
            </w:r>
            <w:r>
              <w:rPr>
                <w:rFonts w:ascii="Times New Roman" w:hAnsi="Times New Roman"/>
                <w:b/>
                <w:sz w:val="24"/>
                <w:szCs w:val="24"/>
              </w:rPr>
              <w:t xml:space="preserve"> </w:t>
            </w:r>
            <w:r>
              <w:rPr>
                <w:rFonts w:ascii="Times New Roman" w:hAnsi="Times New Roman"/>
                <w:b/>
                <w:bCs/>
                <w:sz w:val="24"/>
                <w:szCs w:val="24"/>
              </w:rPr>
              <w:t>комплекса АПВГК</w:t>
            </w:r>
            <w:r>
              <w:rPr>
                <w:rFonts w:ascii="Times New Roman" w:hAnsi="Times New Roman"/>
                <w:b/>
                <w:sz w:val="24"/>
                <w:szCs w:val="24"/>
              </w:rPr>
              <w:t xml:space="preserve"> (наименование а/д)</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b/>
                <w:sz w:val="24"/>
                <w:szCs w:val="24"/>
              </w:rPr>
            </w:pPr>
            <w:r>
              <w:rPr>
                <w:rFonts w:ascii="Times New Roman" w:hAnsi="Times New Roman"/>
                <w:b/>
                <w:sz w:val="24"/>
                <w:szCs w:val="24"/>
              </w:rPr>
              <w:t>Количественный показатель</w:t>
            </w:r>
          </w:p>
        </w:tc>
      </w:tr>
      <w:tr>
        <w:trPr>
          <w:trHeight w:val="275"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1.</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Курган – Звериноголовское (до границы Казахстана) в Звериноголовском муниципальном округе Курганской области на участке км 127+150</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2.</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Шадринск – Миасское в Катайском муниципальном округе Курганской области на участке км 75+210</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3.</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Шадринск – Ялуторовск в Шатровском муниципальном округе Курганской области на участке км 87+500</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4.</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Лебяжье - Мокроусово - Щигры в Мокроусовском муниципальном округе Курганской области на участке км 71+566</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5.</w:t>
            </w:r>
          </w:p>
        </w:tc>
        <w:tc>
          <w:tcPr>
            <w:tcW w:w="730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«Иртыш» - Песчанотаволжанское - «Шадринск - Миасское» в Шумихинском муниципальном округе Курганской области на участке км 3+330</w:t>
            </w:r>
          </w:p>
        </w:tc>
        <w:tc>
          <w:tcPr>
            <w:tcW w:w="216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6.</w:t>
            </w:r>
          </w:p>
        </w:tc>
        <w:tc>
          <w:tcPr>
            <w:tcW w:w="7306" w:type="dxa"/>
            <w:tcBorders>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«Екатеринбург – Шадринск – Курган» - Падерино – граница Свердловской области в Далматовском муниципальном округе Курганской области на участке км 0+850</w:t>
            </w:r>
          </w:p>
        </w:tc>
        <w:tc>
          <w:tcPr>
            <w:tcW w:w="2160"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7.</w:t>
            </w:r>
          </w:p>
        </w:tc>
        <w:tc>
          <w:tcPr>
            <w:tcW w:w="7306" w:type="dxa"/>
            <w:tcBorders>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Курган – Половинное – Воскресенское – граница Казахстана в Половинском муниципальном округе Курганской области на участке км 91+500</w:t>
            </w:r>
          </w:p>
        </w:tc>
        <w:tc>
          <w:tcPr>
            <w:tcW w:w="2160"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объект</w:t>
            </w:r>
          </w:p>
        </w:tc>
      </w:tr>
      <w:tr>
        <w:trPr>
          <w:trHeight w:val="509" w:hRule="atLeast"/>
        </w:trPr>
        <w:tc>
          <w:tcPr>
            <w:tcW w:w="56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8.</w:t>
            </w:r>
          </w:p>
        </w:tc>
        <w:tc>
          <w:tcPr>
            <w:tcW w:w="7306" w:type="dxa"/>
            <w:tcBorders>
              <w:start w:val="single" w:sz="4" w:space="0" w:color="000000"/>
              <w:bottom w:val="single" w:sz="4" w:space="0" w:color="000000"/>
              <w:end w:val="single" w:sz="4" w:space="0" w:color="000000"/>
            </w:tcBorders>
            <w:vAlign w:val="center"/>
          </w:tcPr>
          <w:p>
            <w:pPr>
              <w:pStyle w:val="Normal"/>
              <w:widowControl w:val="false"/>
              <w:suppressAutoHyphens w:val="true"/>
              <w:spacing w:before="0" w:after="0"/>
              <w:ind w:hanging="0" w:start="0" w:end="0"/>
              <w:contextualSpacing/>
              <w:rPr>
                <w:rFonts w:ascii="Times New Roman" w:hAnsi="Times New Roman"/>
                <w:sz w:val="24"/>
                <w:szCs w:val="24"/>
              </w:rPr>
            </w:pPr>
            <w:r>
              <w:rPr>
                <w:rFonts w:ascii="Times New Roman" w:hAnsi="Times New Roman"/>
                <w:sz w:val="24"/>
                <w:szCs w:val="24"/>
              </w:rPr>
              <w:t>Целинное – Кислянка – Патранино – граница Челябинской области в Целинном муниципальном округе Курганской области на участке км 30+950</w:t>
            </w:r>
          </w:p>
        </w:tc>
        <w:tc>
          <w:tcPr>
            <w:tcW w:w="2160"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suppressAutoHyphens w:val="true"/>
              <w:ind w:hanging="0" w:start="0" w:end="0"/>
              <w:jc w:val="center"/>
              <w:rPr>
                <w:rFonts w:ascii="Times New Roman" w:hAnsi="Times New Roman"/>
                <w:sz w:val="24"/>
                <w:szCs w:val="24"/>
              </w:rPr>
            </w:pPr>
            <w:r>
              <w:rPr>
                <w:rFonts w:ascii="Times New Roman" w:hAnsi="Times New Roman"/>
                <w:sz w:val="24"/>
                <w:szCs w:val="24"/>
              </w:rPr>
              <w:t>Объект</w:t>
            </w:r>
          </w:p>
        </w:tc>
      </w:tr>
      <w:tr>
        <w:trPr>
          <w:trHeight w:val="509" w:hRule="atLeast"/>
        </w:trPr>
        <w:tc>
          <w:tcPr>
            <w:tcW w:w="56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jc w:val="center"/>
              <w:rPr>
                <w:rFonts w:ascii="Times New Roman" w:hAnsi="Times New Roman" w:eastAsia="Basic Roman" w:cs="Arial"/>
                <w:sz w:val="24"/>
                <w:szCs w:val="24"/>
                <w:lang w:eastAsia="en-US" w:bidi="ar-SA"/>
              </w:rPr>
            </w:pPr>
            <w:r>
              <w:rPr>
                <w:rFonts w:eastAsia="Basic Roman" w:cs="Arial" w:ascii="Times New Roman" w:hAnsi="Times New Roman"/>
                <w:sz w:val="24"/>
                <w:szCs w:val="24"/>
                <w:lang w:eastAsia="en-US" w:bidi="ar-SA"/>
              </w:rPr>
              <w:t>9.</w:t>
            </w:r>
          </w:p>
        </w:tc>
        <w:tc>
          <w:tcPr>
            <w:tcW w:w="7306" w:type="dxa"/>
            <w:tcBorders>
              <w:start w:val="single" w:sz="4" w:space="0" w:color="000000"/>
              <w:bottom w:val="single" w:sz="4" w:space="0" w:color="000000"/>
              <w:end w:val="single" w:sz="4" w:space="0" w:color="000000"/>
            </w:tcBorders>
            <w:vAlign w:val="center"/>
          </w:tcPr>
          <w:p>
            <w:pPr>
              <w:pStyle w:val="Normal"/>
              <w:widowControl w:val="false"/>
              <w:spacing w:before="0" w:after="0"/>
              <w:contextualSpacing/>
              <w:rPr>
                <w:rFonts w:ascii="Times New Roman" w:hAnsi="Times New Roman" w:cs="Arial"/>
                <w:sz w:val="24"/>
                <w:szCs w:val="24"/>
              </w:rPr>
            </w:pPr>
            <w:r>
              <w:rPr>
                <w:rFonts w:cs="Arial" w:ascii="Times New Roman" w:hAnsi="Times New Roman"/>
                <w:sz w:val="24"/>
                <w:szCs w:val="24"/>
              </w:rPr>
              <w:t>Сафакулево – Сарт–Абдрашево – Преображенка в Сафакулевском муниципальном округе Курганской области на участке км 15+138</w:t>
            </w:r>
          </w:p>
        </w:tc>
        <w:tc>
          <w:tcPr>
            <w:tcW w:w="2160"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jc w:val="center"/>
              <w:rPr>
                <w:rFonts w:ascii="Times New Roman" w:hAnsi="Times New Roman" w:eastAsia="Basic Roman" w:cs="Times New Roman"/>
                <w:sz w:val="24"/>
                <w:szCs w:val="24"/>
                <w:lang w:eastAsia="en-US" w:bidi="ar-SA"/>
              </w:rPr>
            </w:pPr>
            <w:r>
              <w:rPr>
                <w:rFonts w:eastAsia="Basic Roman" w:cs="Times New Roman" w:ascii="Times New Roman" w:hAnsi="Times New Roman"/>
                <w:sz w:val="24"/>
                <w:szCs w:val="24"/>
                <w:lang w:eastAsia="en-US" w:bidi="ar-SA"/>
              </w:rPr>
              <w:t>объект</w:t>
            </w:r>
          </w:p>
        </w:tc>
      </w:tr>
      <w:tr>
        <w:trPr>
          <w:trHeight w:val="509" w:hRule="atLeast"/>
        </w:trPr>
        <w:tc>
          <w:tcPr>
            <w:tcW w:w="56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jc w:val="center"/>
              <w:rPr>
                <w:rFonts w:ascii="Times New Roman" w:hAnsi="Times New Roman" w:eastAsia="Basic Roman" w:cs="Arial"/>
                <w:sz w:val="24"/>
                <w:szCs w:val="24"/>
                <w:lang w:eastAsia="en-US" w:bidi="ar-SA"/>
              </w:rPr>
            </w:pPr>
            <w:r>
              <w:rPr>
                <w:rFonts w:eastAsia="Basic Roman" w:cs="Arial" w:ascii="Times New Roman" w:hAnsi="Times New Roman"/>
                <w:sz w:val="24"/>
                <w:szCs w:val="24"/>
                <w:lang w:eastAsia="en-US" w:bidi="ar-SA"/>
              </w:rPr>
              <w:t xml:space="preserve">10. </w:t>
            </w:r>
          </w:p>
        </w:tc>
        <w:tc>
          <w:tcPr>
            <w:tcW w:w="7306" w:type="dxa"/>
            <w:tcBorders>
              <w:start w:val="single" w:sz="4" w:space="0" w:color="000000"/>
              <w:bottom w:val="single" w:sz="4" w:space="0" w:color="000000"/>
              <w:end w:val="single" w:sz="4" w:space="0" w:color="000000"/>
            </w:tcBorders>
            <w:vAlign w:val="center"/>
          </w:tcPr>
          <w:p>
            <w:pPr>
              <w:pStyle w:val="Normal"/>
              <w:widowControl w:val="false"/>
              <w:spacing w:before="0" w:after="0"/>
              <w:contextualSpacing/>
              <w:rPr>
                <w:rFonts w:ascii="Times New Roman" w:hAnsi="Times New Roman"/>
                <w:sz w:val="24"/>
                <w:szCs w:val="24"/>
              </w:rPr>
            </w:pPr>
            <w:r>
              <w:rPr>
                <w:rFonts w:cs="Arial" w:ascii="Times New Roman" w:hAnsi="Times New Roman"/>
                <w:sz w:val="24"/>
                <w:szCs w:val="24"/>
              </w:rPr>
              <w:t>«Подъезд к г. Тюмень» - Першино - Ягодная - Бралгина в Белозерском муниципальном округе Курганской области на участке км 2+729</w:t>
            </w:r>
          </w:p>
        </w:tc>
        <w:tc>
          <w:tcPr>
            <w:tcW w:w="2160"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6804" w:leader="none"/>
              </w:tabs>
              <w:jc w:val="center"/>
              <w:rPr>
                <w:rFonts w:ascii="Times New Roman" w:hAnsi="Times New Roman" w:eastAsia="Basic Roman" w:cs="Times New Roman"/>
                <w:sz w:val="24"/>
                <w:szCs w:val="24"/>
                <w:lang w:eastAsia="en-US" w:bidi="ar-SA"/>
              </w:rPr>
            </w:pPr>
            <w:r>
              <w:rPr>
                <w:rFonts w:eastAsia="Basic Roman" w:cs="Times New Roman" w:ascii="Times New Roman" w:hAnsi="Times New Roman"/>
                <w:sz w:val="24"/>
                <w:szCs w:val="24"/>
                <w:lang w:eastAsia="en-US" w:bidi="ar-SA"/>
              </w:rPr>
              <w:t>объект</w:t>
            </w:r>
          </w:p>
        </w:tc>
      </w:tr>
    </w:tbl>
    <w:p>
      <w:pPr>
        <w:pStyle w:val="Normal"/>
        <w:spacing w:lineRule="auto" w:line="240"/>
        <w:ind w:firstLine="708" w:start="0" w:end="0"/>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ind w:firstLine="708" w:start="0" w:end="0"/>
        <w:rPr>
          <w:rFonts w:ascii="Times New Roman" w:hAnsi="Times New Roman"/>
          <w:sz w:val="24"/>
          <w:szCs w:val="24"/>
        </w:rPr>
      </w:pPr>
      <w:r>
        <w:rPr>
          <w:rFonts w:cs="Times New Roman" w:ascii="Times New Roman" w:hAnsi="Times New Roman"/>
          <w:b/>
          <w:bCs/>
          <w:sz w:val="24"/>
          <w:szCs w:val="24"/>
        </w:rPr>
        <w:t>Срок оказания услуг: с момента заключения Государственного контракта с 01.08.2026 по 31.07.2027 г.</w:t>
      </w:r>
    </w:p>
    <w:p>
      <w:pPr>
        <w:pStyle w:val="Normal"/>
        <w:spacing w:lineRule="auto" w:line="240"/>
        <w:ind w:firstLine="709" w:start="0" w:end="0"/>
        <w:rPr>
          <w:rFonts w:ascii="Times New Roman" w:hAnsi="Times New Roman"/>
          <w:sz w:val="24"/>
          <w:szCs w:val="24"/>
        </w:rPr>
      </w:pPr>
      <w:r>
        <w:rPr>
          <w:rFonts w:cs="Times New Roman" w:ascii="Times New Roman" w:hAnsi="Times New Roman"/>
          <w:sz w:val="24"/>
          <w:szCs w:val="24"/>
        </w:rPr>
        <w:t xml:space="preserve">                                                                                                                                                             </w:t>
      </w:r>
      <w:r>
        <w:rPr>
          <w:rFonts w:ascii="Times New Roman" w:hAnsi="Times New Roman"/>
          <w:sz w:val="24"/>
          <w:szCs w:val="24"/>
        </w:rPr>
        <w:t xml:space="preserve">                </w:t>
      </w:r>
    </w:p>
    <w:tbl>
      <w:tblPr>
        <w:tblpPr w:vertAnchor="text" w:horzAnchor="margin" w:leftFromText="180" w:rightFromText="180" w:tblpX="-108" w:tblpY="310"/>
        <w:tblW w:w="9645" w:type="dxa"/>
        <w:jc w:val="start"/>
        <w:tblInd w:w="-5" w:type="dxa"/>
        <w:tblLayout w:type="fixed"/>
        <w:tblCellMar>
          <w:top w:w="0" w:type="dxa"/>
          <w:start w:w="108" w:type="dxa"/>
          <w:bottom w:w="0" w:type="dxa"/>
          <w:end w:w="108" w:type="dxa"/>
        </w:tblCellMar>
      </w:tblPr>
      <w:tblGrid>
        <w:gridCol w:w="2774"/>
        <w:gridCol w:w="6870"/>
      </w:tblGrid>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color w:val="auto"/>
                <w:kern w:val="0"/>
                <w:sz w:val="22"/>
                <w:szCs w:val="22"/>
                <w:lang w:val="ru-RU" w:eastAsia="en-US" w:bidi="ar-SA"/>
              </w:rPr>
            </w:pPr>
            <w:r>
              <w:rPr>
                <w:rFonts w:eastAsia="Calibri" w:cs="Times New Roman" w:ascii="Arial" w:hAnsi="Arial"/>
                <w:b/>
                <w:color w:val="auto"/>
                <w:kern w:val="0"/>
                <w:sz w:val="22"/>
                <w:szCs w:val="22"/>
                <w:lang w:val="ru-RU" w:eastAsia="en-US" w:bidi="ar-SA"/>
              </w:rPr>
              <w:t>Автоматический пункт весогабаритного контроля (АПВГК)</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Системы дорожные весового и габаритного контроля «СВК» производства компании АО «ВИК «ТЕНЗО-М», являющиеся сертифицированным средством измерения веса и габаритных размеров и предназначенные для измерения в автоматическом режиме весовых и габаритных параметров движущихся транспортных средств</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Times New Roman" w:hAnsi="Times New Roman" w:eastAsia="Basic Roman" w:cs="Basic Roman"/>
                <w:color w:val="auto"/>
                <w:kern w:val="0"/>
                <w:sz w:val="22"/>
                <w:szCs w:val="22"/>
                <w:lang w:val="ru-RU" w:eastAsia="en-US" w:bidi="ar-SA"/>
              </w:rPr>
            </w:pPr>
            <w:r>
              <w:rPr>
                <w:rFonts w:eastAsia="Calibri" w:cs="Times New Roman" w:ascii="Arial" w:hAnsi="Arial"/>
                <w:b/>
                <w:color w:val="auto"/>
                <w:kern w:val="0"/>
                <w:sz w:val="22"/>
                <w:szCs w:val="22"/>
                <w:lang w:val="en-US" w:eastAsia="en-US" w:bidi="ar-SA"/>
              </w:rPr>
              <w:t xml:space="preserve">Система </w:t>
            </w:r>
            <w:r>
              <w:rPr>
                <w:rFonts w:eastAsia="Calibri" w:cs="Times New Roman" w:ascii="Arial" w:hAnsi="Arial"/>
                <w:b/>
                <w:color w:val="auto"/>
                <w:kern w:val="0"/>
                <w:sz w:val="22"/>
                <w:szCs w:val="22"/>
                <w:lang w:val="ru-RU" w:eastAsia="en-US" w:bidi="ar-SA"/>
              </w:rPr>
              <w:t>Весового контроля (СВК)</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Система измерения параметров автомобильных транспортных средств в движении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color w:val="auto"/>
                <w:kern w:val="0"/>
                <w:sz w:val="22"/>
                <w:szCs w:val="22"/>
                <w:lang w:val="ru-RU" w:eastAsia="en-US" w:bidi="ar-SA"/>
              </w:rPr>
            </w:pPr>
            <w:r>
              <w:rPr>
                <w:rFonts w:eastAsia="Calibri" w:cs="Times New Roman" w:ascii="Arial" w:hAnsi="Arial"/>
                <w:b/>
                <w:color w:val="auto"/>
                <w:kern w:val="0"/>
                <w:sz w:val="22"/>
                <w:szCs w:val="22"/>
                <w:lang w:val="ru-RU" w:eastAsia="en-US" w:bidi="ar-SA"/>
              </w:rPr>
              <w:t>Табло переменной информации (ТПИ)</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Технические средства предоставляемые Заказчиком, предназначенные для информирования водителей и (или) собственников (владельцев) транспортных средств о превышении допустимых весогабаритных параметров транспортных средств</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color w:val="auto"/>
                <w:kern w:val="0"/>
                <w:sz w:val="22"/>
                <w:szCs w:val="22"/>
                <w:lang w:val="ru-RU" w:eastAsia="en-US" w:bidi="ar-SA"/>
              </w:rPr>
            </w:pPr>
            <w:r>
              <w:rPr>
                <w:rFonts w:eastAsia="Calibri" w:cs="Times New Roman" w:ascii="Arial" w:hAnsi="Arial"/>
                <w:b/>
                <w:color w:val="auto"/>
                <w:kern w:val="0"/>
                <w:sz w:val="22"/>
                <w:szCs w:val="22"/>
                <w:lang w:val="ru-RU" w:eastAsia="en-US" w:bidi="ar-SA"/>
              </w:rPr>
              <w:t>Оборудование</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Автоматические пункты весогабаритного контроля, технические средства организации дорожного движения, табло переменной информации, система охранного видеонаблюдения, оборудование передачи данных</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color w:val="auto"/>
                <w:kern w:val="0"/>
                <w:sz w:val="22"/>
                <w:szCs w:val="22"/>
                <w:lang w:val="ru-RU" w:eastAsia="en-US" w:bidi="ar-SA"/>
              </w:rPr>
            </w:pPr>
            <w:r>
              <w:rPr>
                <w:rFonts w:eastAsia="Calibri" w:cs="Times New Roman" w:ascii="Arial" w:hAnsi="Arial"/>
                <w:b/>
                <w:color w:val="auto"/>
                <w:kern w:val="0"/>
                <w:sz w:val="22"/>
                <w:szCs w:val="22"/>
                <w:lang w:val="ru-RU" w:eastAsia="en-US" w:bidi="ar-SA"/>
              </w:rPr>
              <w:t>Рубеж контроля</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spacing w:val="-6"/>
                <w:kern w:val="0"/>
                <w:sz w:val="22"/>
                <w:szCs w:val="22"/>
                <w:lang w:val="ru-RU" w:eastAsia="en-US" w:bidi="ar-SA"/>
              </w:rPr>
            </w:pPr>
            <w:r>
              <w:rPr>
                <w:rFonts w:eastAsia="Calibri" w:cs="Times New Roman" w:ascii="Arial" w:hAnsi="Arial"/>
                <w:color w:val="auto"/>
                <w:spacing w:val="-6"/>
                <w:kern w:val="0"/>
                <w:sz w:val="22"/>
                <w:szCs w:val="22"/>
                <w:lang w:val="ru-RU" w:eastAsia="en-US" w:bidi="ar-SA"/>
              </w:rPr>
              <w:t>Участок автомобильной дороги и/или прилегающей территории, на котором техническими средствами в автоматическом режиме выполняется фиксация административных правонарушений в области дорожного движения, обеспечивается измерение весовых и габаритных параметров движущихся транспортных средств, осуществляется информирование водителя и (или) собственника (владельца) транспортного средства о превышении допустимых весогабаритных параметров транспортного средства</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color w:val="auto"/>
                <w:kern w:val="0"/>
                <w:sz w:val="22"/>
                <w:szCs w:val="22"/>
                <w:lang w:val="ru-RU" w:eastAsia="en-US" w:bidi="ar-SA"/>
              </w:rPr>
            </w:pPr>
            <w:r>
              <w:rPr>
                <w:rFonts w:eastAsia="Calibri" w:cs="Times New Roman" w:ascii="Arial" w:hAnsi="Arial"/>
                <w:b/>
                <w:color w:val="auto"/>
                <w:kern w:val="0"/>
                <w:sz w:val="22"/>
                <w:szCs w:val="22"/>
                <w:lang w:val="ru-RU" w:eastAsia="en-US" w:bidi="ar-SA"/>
              </w:rPr>
              <w:t>Система охранного   видеонаблюдения (СОВН)</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Совокупность технических и программных средств, предназначенных для ведения непрерывного наблюдения и записи видеоинформации об обстановке в той или иной части рубежа контроля, предоставляемая Исполнителем, путем оказания услуг по ее установке и настройке</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ГРЗ</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Государственный регистрационный знак</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ЛВС</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Times New Roman" w:cs="Times New Roman"/>
                <w:color w:val="auto"/>
                <w:kern w:val="0"/>
                <w:sz w:val="22"/>
                <w:szCs w:val="22"/>
                <w:lang w:val="ru-RU" w:eastAsia="en-US" w:bidi="ar-SA"/>
              </w:rPr>
            </w:pPr>
            <w:r>
              <w:rPr>
                <w:rFonts w:eastAsia="Times New Roman" w:cs="Times New Roman" w:ascii="Arial" w:hAnsi="Arial"/>
                <w:color w:val="auto"/>
                <w:kern w:val="0"/>
                <w:sz w:val="22"/>
                <w:szCs w:val="22"/>
                <w:lang w:val="ru-RU" w:eastAsia="en-US" w:bidi="ar-SA"/>
              </w:rPr>
              <w:t>Локальная вычислительная сеть</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МВР</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Times New Roman" w:hAnsi="Times New Roman" w:eastAsia="Basic Roman" w:cs="Basic Roman"/>
                <w:color w:val="auto"/>
                <w:kern w:val="0"/>
                <w:sz w:val="22"/>
                <w:szCs w:val="22"/>
                <w:lang w:val="ru-RU" w:eastAsia="en-US" w:bidi="ar-SA"/>
              </w:rPr>
            </w:pPr>
            <w:r>
              <w:rPr>
                <w:rFonts w:eastAsia="Times New Roman" w:cs="Times New Roman" w:ascii="Arial" w:hAnsi="Arial"/>
                <w:color w:val="auto"/>
                <w:kern w:val="0"/>
                <w:sz w:val="22"/>
                <w:szCs w:val="22"/>
                <w:lang w:val="ru-RU" w:eastAsia="en-US" w:bidi="ar-SA"/>
              </w:rPr>
              <w:t xml:space="preserve">Модуль </w:t>
            </w:r>
            <w:r>
              <w:rPr>
                <w:rFonts w:eastAsia="Basic Roman" w:cs="Basic Roman" w:ascii="Times New Roman" w:hAnsi="Times New Roman"/>
                <w:color w:val="auto"/>
                <w:kern w:val="0"/>
                <w:sz w:val="22"/>
                <w:szCs w:val="22"/>
                <w:lang w:val="ru-RU" w:eastAsia="en-US" w:bidi="ar-SA"/>
              </w:rPr>
              <w:t xml:space="preserve"> </w:t>
            </w:r>
            <w:r>
              <w:rPr>
                <w:rFonts w:eastAsia="Times New Roman" w:cs="Times New Roman" w:ascii="Arial" w:hAnsi="Arial"/>
                <w:color w:val="auto"/>
                <w:kern w:val="0"/>
                <w:sz w:val="22"/>
                <w:szCs w:val="22"/>
                <w:lang w:val="ru-RU" w:eastAsia="en-US" w:bidi="ar-SA"/>
              </w:rPr>
              <w:t>фото-видеофиксации ТС и распознавания ГРЗ ТС. Состоит из одной или нескольких видеокамер, а также инфракрасных прожекторов</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МИГ</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Модуль измерения габаритов</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МПС</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Times New Roman" w:cs="Times New Roman"/>
                <w:color w:val="auto"/>
                <w:kern w:val="0"/>
                <w:sz w:val="22"/>
                <w:szCs w:val="22"/>
                <w:lang w:val="ru-RU" w:eastAsia="en-US" w:bidi="ar-SA"/>
              </w:rPr>
            </w:pPr>
            <w:r>
              <w:rPr>
                <w:rFonts w:eastAsia="Times New Roman" w:cs="Times New Roman" w:ascii="Arial" w:hAnsi="Arial"/>
                <w:color w:val="auto"/>
                <w:kern w:val="0"/>
                <w:sz w:val="22"/>
                <w:szCs w:val="22"/>
                <w:lang w:val="ru-RU" w:eastAsia="en-US" w:bidi="ar-SA"/>
              </w:rPr>
              <w:t>Модуль позиционирования и определения числа колес (скатов) оси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ПО</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Times New Roman" w:cs="Times New Roman"/>
                <w:color w:val="auto"/>
                <w:kern w:val="0"/>
                <w:sz w:val="22"/>
                <w:szCs w:val="22"/>
                <w:lang w:val="ru-RU" w:eastAsia="en-US" w:bidi="ar-SA"/>
              </w:rPr>
            </w:pPr>
            <w:r>
              <w:rPr>
                <w:rFonts w:eastAsia="Times New Roman" w:cs="Times New Roman" w:ascii="Arial" w:hAnsi="Arial"/>
                <w:color w:val="auto"/>
                <w:kern w:val="0"/>
                <w:sz w:val="22"/>
                <w:szCs w:val="22"/>
                <w:lang w:val="ru-RU" w:eastAsia="en-US" w:bidi="ar-SA"/>
              </w:rPr>
              <w:t>Модуль фотофиксации ТС и распознавания ГРЗ ТС. Состоит из одной или нескольких видеокамер, а также инфракрасных прожекторов</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ЦАФАП</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Центр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Управления Министерства внутренних дел Российской Федерации по Курганской области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Times New Roman" w:cs="Times New Roman"/>
                <w:b/>
                <w:bCs/>
                <w:color w:val="auto"/>
                <w:kern w:val="0"/>
                <w:sz w:val="22"/>
                <w:szCs w:val="22"/>
                <w:lang w:val="ru-RU" w:eastAsia="en-US" w:bidi="ar-SA"/>
              </w:rPr>
            </w:pPr>
            <w:r>
              <w:rPr>
                <w:rFonts w:eastAsia="Times New Roman" w:cs="Times New Roman" w:ascii="Arial" w:hAnsi="Arial"/>
                <w:b/>
                <w:bCs/>
                <w:color w:val="auto"/>
                <w:kern w:val="0"/>
                <w:sz w:val="22"/>
                <w:szCs w:val="22"/>
                <w:lang w:val="ru-RU" w:eastAsia="en-US" w:bidi="ar-SA"/>
              </w:rPr>
              <w:t>СМ</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Силоприемный модуль. Основной элемент СВК</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ШЭ</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Шкаф с электронной частью СВК</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АПК</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Аппаратно программный комплекс</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УСВ</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Устройство синхронизации времени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ВОЛС</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Волоконно-оптические линии связи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ТПИ</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Табло переменной информации</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keepNext w:val="true"/>
              <w:widowControl w:val="false"/>
              <w:spacing w:lineRule="auto" w:line="240" w:before="0" w:after="0"/>
              <w:ind w:hanging="0" w:start="0" w:end="0"/>
              <w:jc w:val="center"/>
              <w:rPr>
                <w:rFonts w:ascii="Arial" w:hAnsi="Arial" w:eastAsia="Calibri" w:cs="Times New Roman"/>
                <w:b/>
                <w:bCs/>
                <w:color w:val="auto"/>
                <w:kern w:val="0"/>
                <w:sz w:val="22"/>
                <w:szCs w:val="22"/>
                <w:lang w:val="ru-RU" w:eastAsia="en-US" w:bidi="ar-SA"/>
              </w:rPr>
            </w:pPr>
            <w:r>
              <w:rPr>
                <w:rFonts w:eastAsia="Calibri" w:cs="Times New Roman" w:ascii="Arial" w:hAnsi="Arial"/>
                <w:b/>
                <w:bCs/>
                <w:color w:val="auto"/>
                <w:kern w:val="0"/>
                <w:sz w:val="22"/>
                <w:szCs w:val="22"/>
                <w:lang w:val="ru-RU" w:eastAsia="en-US" w:bidi="ar-SA"/>
              </w:rPr>
              <w:t>ТКТС</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Calibri" w:cs="Times New Roman"/>
                <w:color w:val="auto"/>
                <w:kern w:val="0"/>
                <w:sz w:val="22"/>
                <w:szCs w:val="22"/>
                <w:lang w:val="ru-RU" w:eastAsia="en-US" w:bidi="ar-SA"/>
              </w:rPr>
            </w:pPr>
            <w:r>
              <w:rPr>
                <w:rFonts w:eastAsia="Calibri" w:cs="Times New Roman" w:ascii="Arial" w:hAnsi="Arial"/>
                <w:color w:val="auto"/>
                <w:kern w:val="0"/>
                <w:sz w:val="22"/>
                <w:szCs w:val="22"/>
                <w:lang w:val="ru-RU" w:eastAsia="en-US" w:bidi="ar-SA"/>
              </w:rPr>
              <w:t>Тяжеловесные и (или) крупногабаритные транспортные средства</w:t>
            </w:r>
          </w:p>
        </w:tc>
      </w:tr>
      <w:tr>
        <w:trPr>
          <w:trHeight w:val="20" w:hRule="atLeast"/>
          <w:cantSplit w:val="true"/>
        </w:trPr>
        <w:tc>
          <w:tcPr>
            <w:tcW w:w="277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jc w:val="center"/>
              <w:rPr>
                <w:rFonts w:ascii="Arial" w:hAnsi="Arial" w:eastAsia="Basic Roman" w:cs="Arial"/>
                <w:b/>
                <w:bCs/>
                <w:color w:val="auto"/>
                <w:kern w:val="0"/>
                <w:sz w:val="22"/>
                <w:szCs w:val="22"/>
                <w:lang w:val="ru-RU" w:eastAsia="en-US" w:bidi="ar-SA"/>
              </w:rPr>
            </w:pPr>
            <w:r>
              <w:rPr>
                <w:rFonts w:eastAsia="Basic Roman" w:cs="Arial" w:ascii="Arial" w:hAnsi="Arial"/>
                <w:b/>
                <w:bCs/>
                <w:color w:val="auto"/>
                <w:kern w:val="0"/>
                <w:sz w:val="22"/>
                <w:szCs w:val="22"/>
                <w:lang w:val="ru-RU" w:eastAsia="en-US" w:bidi="ar-SA"/>
              </w:rPr>
              <w:t>ТС</w:t>
            </w:r>
          </w:p>
        </w:tc>
        <w:tc>
          <w:tcPr>
            <w:tcW w:w="68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start="0" w:end="0"/>
              <w:rPr>
                <w:rFonts w:ascii="Arial" w:hAnsi="Arial" w:eastAsia="Basic Roman" w:cs="Arial"/>
                <w:color w:val="auto"/>
                <w:kern w:val="0"/>
                <w:sz w:val="22"/>
                <w:szCs w:val="22"/>
                <w:lang w:val="ru-RU" w:eastAsia="en-US" w:bidi="ar-SA"/>
              </w:rPr>
            </w:pPr>
            <w:r>
              <w:rPr>
                <w:rFonts w:eastAsia="Basic Roman" w:cs="Arial" w:ascii="Arial" w:hAnsi="Arial"/>
                <w:color w:val="auto"/>
                <w:kern w:val="0"/>
                <w:sz w:val="22"/>
                <w:szCs w:val="22"/>
                <w:lang w:val="ru-RU" w:eastAsia="en-US" w:bidi="ar-SA"/>
              </w:rPr>
              <w:t>Транспортное средство</w:t>
            </w:r>
          </w:p>
        </w:tc>
      </w:tr>
    </w:tbl>
    <w:p>
      <w:pPr>
        <w:pStyle w:val="Normal"/>
        <w:spacing w:lineRule="auto" w:line="240"/>
        <w:ind w:firstLine="709" w:start="0" w:end="0"/>
        <w:rPr>
          <w:rFonts w:ascii="Times New Roman" w:hAnsi="Times New Roman"/>
          <w:sz w:val="24"/>
          <w:szCs w:val="24"/>
        </w:rPr>
      </w:pPr>
      <w:r/>
      <w:r>
        <w:rPr>
          <w:rFonts w:cs="Times New Roman" w:ascii="Times New Roman" w:hAnsi="Times New Roman"/>
          <w:b/>
          <w:bCs/>
          <w:sz w:val="24"/>
          <w:szCs w:val="24"/>
        </w:rPr>
        <w:t>Перечень сокращений, используемых в техническом задании:</w:t>
      </w:r>
      <w:r>
        <w:rPr>
          <w:rFonts w:cs="Times New Roman" w:ascii="Times New Roman" w:hAnsi="Times New Roman"/>
          <w:sz w:val="24"/>
          <w:szCs w:val="24"/>
        </w:rPr>
        <w:t xml:space="preserve">           </w:t>
      </w:r>
    </w:p>
    <w:p>
      <w:pPr>
        <w:pStyle w:val="Normal"/>
        <w:spacing w:lineRule="auto" w:line="240"/>
        <w:ind w:hanging="0" w:start="0" w:end="0"/>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jc w:val="center"/>
        <w:rPr>
          <w:rFonts w:ascii="Times New Roman" w:hAnsi="Times New Roman"/>
          <w:sz w:val="24"/>
          <w:szCs w:val="24"/>
        </w:rPr>
      </w:pPr>
      <w:r>
        <w:rPr>
          <w:rFonts w:cs="Times New Roman" w:ascii="Times New Roman" w:hAnsi="Times New Roman"/>
          <w:b/>
          <w:sz w:val="24"/>
          <w:szCs w:val="24"/>
        </w:rPr>
        <w:t>2. Описание предмета содержания.</w:t>
      </w:r>
    </w:p>
    <w:p>
      <w:pPr>
        <w:pStyle w:val="Normal"/>
        <w:spacing w:lineRule="auto" w:line="240"/>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rPr>
          <w:rFonts w:ascii="Times New Roman" w:hAnsi="Times New Roman" w:cs="Times New Roman"/>
          <w:bCs/>
          <w:sz w:val="24"/>
          <w:szCs w:val="24"/>
        </w:rPr>
      </w:pPr>
      <w:r>
        <w:rPr>
          <w:rFonts w:cs="Times New Roman" w:ascii="Times New Roman" w:hAnsi="Times New Roman"/>
          <w:bCs/>
          <w:sz w:val="24"/>
          <w:szCs w:val="24"/>
        </w:rPr>
        <w:t>2.1. Комплексная система контроля перевозки тяжеловесных и крупногабаритных грузов на дорогах регионального и (или) межмуниципального значения Курганской области (Система) является сложным технологическим объектом и представляет собой совокупность неразрывно технологически и/или функционально связанных между собой конструктивных элементов, работающих в автоматическом режиме, обеспечивающих круглосуточный непрерывный контроль движения транспортных средств и грузоперевозок на региональных и межмуниципальных автомобильных дорогах Курганской области.</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2.2. Автоматические пункты весового и габаритного контроля предназначены для:</w:t>
      </w:r>
    </w:p>
    <w:p>
      <w:pPr>
        <w:pStyle w:val="Normal"/>
        <w:spacing w:lineRule="auto" w:line="240"/>
        <w:rPr>
          <w:rFonts w:ascii="Times New Roman" w:hAnsi="Times New Roman"/>
          <w:sz w:val="24"/>
          <w:szCs w:val="24"/>
        </w:rPr>
      </w:pPr>
      <w:r>
        <w:rPr>
          <w:rFonts w:cs="Times New Roman" w:ascii="Times New Roman" w:hAnsi="Times New Roman"/>
          <w:sz w:val="24"/>
          <w:szCs w:val="24"/>
        </w:rPr>
        <w:t xml:space="preserve">- фиксации административных правонарушений правил движения </w:t>
      </w:r>
      <w:bookmarkStart w:id="2" w:name="_Hlk144825903"/>
      <w:r>
        <w:rPr>
          <w:rFonts w:cs="Times New Roman" w:ascii="Times New Roman" w:hAnsi="Times New Roman"/>
          <w:sz w:val="24"/>
          <w:szCs w:val="24"/>
        </w:rPr>
        <w:t>крупногабаритных и (или) тяжеловесных</w:t>
      </w:r>
      <w:bookmarkEnd w:id="2"/>
      <w:r>
        <w:rPr>
          <w:rFonts w:cs="Times New Roman" w:ascii="Times New Roman" w:hAnsi="Times New Roman"/>
          <w:sz w:val="24"/>
          <w:szCs w:val="24"/>
        </w:rPr>
        <w:t xml:space="preserve"> транспортных средств с применением технических средств контроля, работающих в автоматическом режиме и имеющих функции фото и киносъемки;</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сбора, обработки и хранения фото-видеоинформации, информации о весовые и габаритные параметры транспортных средств на контролируемых участках автомобильных дорог;</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информирования участников дорожного движения о выявленных нарушениях правил движения крупногабаритных и (или) тяжеловесных транспортных средств.</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xml:space="preserve">- передачи собранной информации на АПВГК в информационные системы Государственного Заказчика посредством ВОЛС. </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2.3. Оборудование АПВГК выявляет параметры и данные о ТКТС, проходящих через зону весового и габаритного контроля.</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2.4. АПВГК обеспечивает:</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r>
        <w:rPr>
          <w:rFonts w:cs="Times New Roman" w:ascii="Times New Roman" w:hAnsi="Times New Roman"/>
          <w:sz w:val="24"/>
          <w:szCs w:val="24"/>
          <w:lang w:eastAsia="en-US"/>
        </w:rPr>
        <w:t>1) измерение нагрузок, приходящихся на каждую ось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3" w:name="sub_10392"/>
      <w:bookmarkStart w:id="4" w:name="sub_103911"/>
      <w:bookmarkEnd w:id="3"/>
      <w:bookmarkEnd w:id="4"/>
      <w:r>
        <w:rPr>
          <w:rFonts w:cs="Times New Roman" w:ascii="Times New Roman" w:hAnsi="Times New Roman"/>
          <w:sz w:val="24"/>
          <w:szCs w:val="24"/>
          <w:lang w:eastAsia="en-US"/>
        </w:rPr>
        <w:t>2) измерение общей массы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5" w:name="sub_10393"/>
      <w:bookmarkStart w:id="6" w:name="sub_103921"/>
      <w:bookmarkEnd w:id="5"/>
      <w:bookmarkEnd w:id="6"/>
      <w:r>
        <w:rPr>
          <w:rFonts w:cs="Times New Roman" w:ascii="Times New Roman" w:hAnsi="Times New Roman"/>
          <w:sz w:val="24"/>
          <w:szCs w:val="24"/>
          <w:lang w:eastAsia="en-US"/>
        </w:rPr>
        <w:t>3) определение количества осей транспортного средства и отнесение транспортного средства к соответствующей категории;</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7" w:name="sub_10394"/>
      <w:bookmarkStart w:id="8" w:name="sub_103931"/>
      <w:bookmarkEnd w:id="7"/>
      <w:bookmarkEnd w:id="8"/>
      <w:r>
        <w:rPr>
          <w:rFonts w:cs="Times New Roman" w:ascii="Times New Roman" w:hAnsi="Times New Roman"/>
          <w:sz w:val="24"/>
          <w:szCs w:val="24"/>
          <w:lang w:eastAsia="en-US"/>
        </w:rPr>
        <w:t>4) измерение межосевых расстояний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9" w:name="sub_10395"/>
      <w:bookmarkStart w:id="10" w:name="sub_103941"/>
      <w:bookmarkEnd w:id="9"/>
      <w:bookmarkEnd w:id="10"/>
      <w:r>
        <w:rPr>
          <w:rFonts w:cs="Times New Roman" w:ascii="Times New Roman" w:hAnsi="Times New Roman"/>
          <w:sz w:val="24"/>
          <w:szCs w:val="24"/>
          <w:lang w:eastAsia="en-US"/>
        </w:rPr>
        <w:t>5) определение количества колес (скатности) на осях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11" w:name="sub_10396"/>
      <w:bookmarkStart w:id="12" w:name="sub_103951"/>
      <w:bookmarkEnd w:id="11"/>
      <w:bookmarkEnd w:id="12"/>
      <w:r>
        <w:rPr>
          <w:rFonts w:cs="Times New Roman" w:ascii="Times New Roman" w:hAnsi="Times New Roman"/>
          <w:sz w:val="24"/>
          <w:szCs w:val="24"/>
          <w:lang w:eastAsia="en-US"/>
        </w:rPr>
        <w:t>6) измерение габаритов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13" w:name="sub_10397"/>
      <w:bookmarkStart w:id="14" w:name="sub_103961"/>
      <w:bookmarkEnd w:id="13"/>
      <w:bookmarkEnd w:id="14"/>
      <w:r>
        <w:rPr>
          <w:rFonts w:cs="Times New Roman" w:ascii="Times New Roman" w:hAnsi="Times New Roman"/>
          <w:sz w:val="24"/>
          <w:szCs w:val="24"/>
          <w:lang w:eastAsia="en-US"/>
        </w:rPr>
        <w:t>7) фотофиксация и распознавание государственного регистрационного знака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15" w:name="sub_10398"/>
      <w:bookmarkStart w:id="16" w:name="sub_103971"/>
      <w:bookmarkEnd w:id="15"/>
      <w:bookmarkEnd w:id="16"/>
      <w:r>
        <w:rPr>
          <w:rFonts w:cs="Times New Roman" w:ascii="Times New Roman" w:hAnsi="Times New Roman"/>
          <w:sz w:val="24"/>
          <w:szCs w:val="24"/>
          <w:lang w:eastAsia="en-US"/>
        </w:rPr>
        <w:t>8) фотофиксация фронтального изображения транспортного средства;</w:t>
      </w:r>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bookmarkStart w:id="17" w:name="sub_10399"/>
      <w:bookmarkStart w:id="18" w:name="sub_103981"/>
      <w:bookmarkEnd w:id="18"/>
      <w:r>
        <w:rPr>
          <w:rFonts w:cs="Times New Roman" w:ascii="Times New Roman" w:hAnsi="Times New Roman"/>
          <w:sz w:val="24"/>
          <w:szCs w:val="24"/>
          <w:lang w:eastAsia="en-US"/>
        </w:rPr>
        <w:t>9) фотофиксация общего вида транспортного средства (вид сбоку) в момент проезда через весоизмерительные датчики (получение обзорной фотографии транспортного средства, на которой отражены его контуры и количество осей);</w:t>
      </w:r>
      <w:bookmarkEnd w:id="17"/>
    </w:p>
    <w:p>
      <w:pPr>
        <w:pStyle w:val="Normal"/>
        <w:tabs>
          <w:tab w:val="clear" w:pos="720"/>
          <w:tab w:val="left" w:pos="900" w:leader="none"/>
        </w:tabs>
        <w:spacing w:lineRule="auto" w:line="240"/>
        <w:ind w:firstLine="709" w:start="0" w:end="0"/>
        <w:rPr>
          <w:rFonts w:ascii="Times New Roman" w:hAnsi="Times New Roman" w:cs="Times New Roman"/>
          <w:sz w:val="24"/>
          <w:szCs w:val="24"/>
          <w:lang w:eastAsia="en-US"/>
        </w:rPr>
      </w:pPr>
      <w:r>
        <w:rPr>
          <w:rFonts w:cs="Times New Roman" w:ascii="Times New Roman" w:hAnsi="Times New Roman"/>
          <w:sz w:val="24"/>
          <w:szCs w:val="24"/>
          <w:lang w:eastAsia="en-US"/>
        </w:rPr>
        <w:t>10) фиксацию иных данных:</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дата, время проезда;</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адрес места расположения АПВГК;</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географические координаты места расположения АПВГК;</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серийный номер АПВГК;</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xml:space="preserve">- автоматическую привязку измеренной массы, габаритов, скорости ТС к его изображению. </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xml:space="preserve">- направление движения ТС: </w:t>
      </w:r>
    </w:p>
    <w:p>
      <w:pPr>
        <w:pStyle w:val="Normal"/>
        <w:tabs>
          <w:tab w:val="clear" w:pos="720"/>
          <w:tab w:val="left" w:pos="900" w:leader="none"/>
        </w:tabs>
        <w:spacing w:lineRule="auto" w:line="240"/>
        <w:ind w:firstLine="1191" w:start="0" w:end="0"/>
        <w:rPr>
          <w:rFonts w:ascii="Times New Roman" w:hAnsi="Times New Roman" w:cs="Times New Roman"/>
          <w:sz w:val="24"/>
          <w:szCs w:val="24"/>
          <w:lang w:eastAsia="en-US"/>
        </w:rPr>
      </w:pPr>
      <w:r>
        <w:rPr>
          <w:rFonts w:cs="Times New Roman" w:ascii="Times New Roman" w:hAnsi="Times New Roman"/>
          <w:sz w:val="24"/>
          <w:szCs w:val="24"/>
          <w:lang w:eastAsia="en-US"/>
        </w:rPr>
        <w:t xml:space="preserve">а) попутные, </w:t>
      </w:r>
    </w:p>
    <w:p>
      <w:pPr>
        <w:pStyle w:val="Normal"/>
        <w:tabs>
          <w:tab w:val="clear" w:pos="720"/>
          <w:tab w:val="left" w:pos="900" w:leader="none"/>
        </w:tabs>
        <w:spacing w:lineRule="auto" w:line="240"/>
        <w:ind w:firstLine="1191" w:start="0" w:end="0"/>
        <w:rPr>
          <w:rFonts w:ascii="Times New Roman" w:hAnsi="Times New Roman" w:cs="Times New Roman"/>
          <w:sz w:val="24"/>
          <w:szCs w:val="24"/>
          <w:lang w:eastAsia="en-US"/>
        </w:rPr>
      </w:pPr>
      <w:r>
        <w:rPr>
          <w:rFonts w:cs="Times New Roman" w:ascii="Times New Roman" w:hAnsi="Times New Roman"/>
          <w:sz w:val="24"/>
          <w:szCs w:val="24"/>
          <w:lang w:eastAsia="en-US"/>
        </w:rPr>
        <w:t xml:space="preserve">б) встречные. </w:t>
      </w:r>
    </w:p>
    <w:p>
      <w:pPr>
        <w:pStyle w:val="Normal"/>
        <w:tabs>
          <w:tab w:val="clear" w:pos="720"/>
          <w:tab w:val="left" w:pos="900" w:leader="none"/>
        </w:tabs>
        <w:spacing w:lineRule="auto" w:line="240"/>
        <w:ind w:firstLine="1020" w:start="0" w:end="0"/>
        <w:rPr>
          <w:rFonts w:ascii="Times New Roman" w:hAnsi="Times New Roman" w:cs="Times New Roman"/>
          <w:sz w:val="24"/>
          <w:szCs w:val="24"/>
          <w:lang w:eastAsia="en-US"/>
        </w:rPr>
      </w:pPr>
      <w:r>
        <w:rPr>
          <w:rFonts w:cs="Times New Roman" w:ascii="Times New Roman" w:hAnsi="Times New Roman"/>
          <w:sz w:val="24"/>
          <w:szCs w:val="24"/>
          <w:lang w:eastAsia="en-US"/>
        </w:rPr>
        <w:t>- контроль и фотовидеофиксацию всех проходящих ТС в зоне действия рубежа с распознаванием ГРЗ ТС, в том числе проходящих без нарушения ПДД с передачей сформированной информации о проезде ТС по каналам связи.</w:t>
      </w:r>
    </w:p>
    <w:p>
      <w:pPr>
        <w:pStyle w:val="Normal"/>
        <w:tabs>
          <w:tab w:val="clear" w:pos="720"/>
          <w:tab w:val="left" w:pos="900" w:leader="none"/>
        </w:tabs>
        <w:spacing w:lineRule="auto" w:line="240"/>
        <w:ind w:firstLine="1020" w:start="0" w:end="0"/>
        <w:rPr>
          <w:rFonts w:ascii="Times New Roman" w:hAnsi="Times New Roman"/>
          <w:sz w:val="24"/>
          <w:szCs w:val="24"/>
        </w:rPr>
      </w:pPr>
      <w:r>
        <w:rPr>
          <w:rFonts w:cs="Times New Roman" w:ascii="Times New Roman" w:hAnsi="Times New Roman"/>
          <w:sz w:val="24"/>
          <w:szCs w:val="24"/>
          <w:lang w:eastAsia="en-US"/>
        </w:rPr>
        <w:t xml:space="preserve">- передачу информации с АПВГК в АПК с дальнейшей передачей в ЦАФАП по проводным каналам связи </w:t>
      </w:r>
      <w:r>
        <w:rPr>
          <w:rFonts w:cs="Times New Roman" w:ascii="Times New Roman" w:hAnsi="Times New Roman"/>
          <w:bCs/>
          <w:iCs/>
          <w:sz w:val="24"/>
          <w:szCs w:val="24"/>
        </w:rPr>
        <w:t xml:space="preserve">в формате веб-сервиса «Дупло 2». </w:t>
      </w:r>
      <w:r>
        <w:rPr>
          <w:rFonts w:cs="Times New Roman" w:ascii="Times New Roman" w:hAnsi="Times New Roman"/>
          <w:sz w:val="24"/>
          <w:szCs w:val="24"/>
          <w:lang w:eastAsia="en-US"/>
        </w:rPr>
        <w:t>АПВГК ф</w:t>
      </w:r>
      <w:r>
        <w:rPr>
          <w:rFonts w:cs="Times New Roman" w:ascii="Times New Roman" w:hAnsi="Times New Roman"/>
          <w:sz w:val="24"/>
          <w:szCs w:val="24"/>
        </w:rPr>
        <w:t>ункционально и технологически должны быть интегрированы в СПО «Паутина».</w:t>
      </w:r>
    </w:p>
    <w:p>
      <w:pPr>
        <w:pStyle w:val="Normal"/>
        <w:tabs>
          <w:tab w:val="clear" w:pos="720"/>
          <w:tab w:val="left" w:pos="900" w:leader="none"/>
        </w:tabs>
        <w:spacing w:lineRule="auto" w:line="240"/>
        <w:ind w:firstLine="1020" w:start="0" w:end="0"/>
        <w:rPr>
          <w:rFonts w:ascii="Times New Roman" w:hAnsi="Times New Roman"/>
          <w:sz w:val="24"/>
          <w:szCs w:val="24"/>
        </w:rPr>
      </w:pPr>
      <w:r>
        <w:rPr>
          <w:rFonts w:cs="Times New Roman" w:ascii="Times New Roman" w:hAnsi="Times New Roman"/>
          <w:sz w:val="24"/>
          <w:szCs w:val="24"/>
          <w:lang w:eastAsia="en-US"/>
        </w:rPr>
        <w:t xml:space="preserve">- инфракрасное освещение зоны контроля, с целью достоверной идентификации ГРЗ ТС в ночное время, яркость устройств подсветки зоны контроля должна регулироваться автоматически в зависимости от внешних условий. </w:t>
      </w:r>
    </w:p>
    <w:p>
      <w:pPr>
        <w:pStyle w:val="Normal"/>
        <w:spacing w:lineRule="auto" w:line="240" w:before="0" w:after="160"/>
        <w:ind w:firstLine="1020" w:start="0" w:end="0"/>
        <w:contextualSpacing/>
        <w:rPr>
          <w:rFonts w:ascii="Times New Roman" w:hAnsi="Times New Roman" w:cs="Times New Roman"/>
          <w:bCs/>
          <w:sz w:val="24"/>
          <w:szCs w:val="24"/>
        </w:rPr>
      </w:pPr>
      <w:r>
        <w:rPr>
          <w:rFonts w:cs="Times New Roman" w:ascii="Times New Roman" w:hAnsi="Times New Roman"/>
          <w:bCs/>
          <w:sz w:val="24"/>
          <w:szCs w:val="24"/>
        </w:rPr>
        <w:t xml:space="preserve">- АПВГК обеспечивает сбор данных и параметров (информации) ТС в объёме и качестве, достаточном для формирования постановлений по делам об административных правонарушениях в области дорожного движения. </w:t>
      </w:r>
    </w:p>
    <w:p>
      <w:pPr>
        <w:pStyle w:val="Normal"/>
        <w:spacing w:lineRule="auto" w:line="240" w:before="0" w:after="160"/>
        <w:ind w:firstLine="993" w:start="0" w:end="0"/>
        <w:contextualSpacing/>
        <w:rPr>
          <w:rFonts w:ascii="Times New Roman" w:hAnsi="Times New Roman" w:cs="Times New Roman"/>
          <w:bCs/>
          <w:sz w:val="24"/>
          <w:szCs w:val="24"/>
        </w:rPr>
      </w:pPr>
      <w:r>
        <w:rPr>
          <w:rFonts w:cs="Times New Roman" w:ascii="Times New Roman" w:hAnsi="Times New Roman"/>
          <w:bCs/>
          <w:sz w:val="24"/>
          <w:szCs w:val="24"/>
        </w:rPr>
        <w:t>- АПВГК «СВК» производства компании ЗАО «ВИК «ТЕНЗО-М» имеют метрологические характеристики, указанные в Таблице № 2.</w:t>
      </w:r>
    </w:p>
    <w:p>
      <w:pPr>
        <w:pStyle w:val="Normal"/>
        <w:spacing w:lineRule="auto" w:line="240"/>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rmal"/>
        <w:spacing w:lineRule="auto" w:line="240" w:before="0" w:after="0"/>
        <w:contextualSpacing/>
        <w:rPr>
          <w:rFonts w:ascii="Times New Roman" w:hAnsi="Times New Roman" w:cs="Times New Roman"/>
          <w:b/>
          <w:bCs/>
          <w:i w:val="false"/>
          <w:i w:val="false"/>
          <w:iCs w:val="false"/>
          <w:sz w:val="24"/>
          <w:szCs w:val="24"/>
          <w:shd w:fill="FFFFFF" w:val="clear"/>
        </w:rPr>
      </w:pPr>
      <w:r>
        <w:rPr>
          <w:rFonts w:cs="Times New Roman" w:ascii="Times New Roman" w:hAnsi="Times New Roman"/>
          <w:b/>
          <w:bCs/>
          <w:i w:val="false"/>
          <w:iCs w:val="false"/>
          <w:sz w:val="24"/>
          <w:szCs w:val="24"/>
          <w:shd w:fill="FFFFFF" w:val="clear"/>
        </w:rPr>
        <w:t>Таблица № 2 – Метрологические характеристики АПВГК</w:t>
      </w:r>
    </w:p>
    <w:p>
      <w:pPr>
        <w:pStyle w:val="Normal"/>
        <w:spacing w:lineRule="auto" w:line="240" w:before="0" w:after="0"/>
        <w:contextualSpacing/>
        <w:jc w:val="end"/>
        <w:rPr>
          <w:rFonts w:ascii="Times New Roman" w:hAnsi="Times New Roman" w:cs="Times New Roman"/>
          <w:sz w:val="24"/>
          <w:szCs w:val="24"/>
          <w:shd w:fill="FFFFFF" w:val="clear"/>
        </w:rPr>
      </w:pPr>
      <w:r>
        <w:rPr>
          <w:rFonts w:cs="Times New Roman" w:ascii="Times New Roman" w:hAnsi="Times New Roman"/>
          <w:sz w:val="24"/>
          <w:szCs w:val="24"/>
          <w:shd w:fill="FFFFFF" w:val="clear"/>
        </w:rPr>
      </w:r>
    </w:p>
    <w:tbl>
      <w:tblPr>
        <w:tblW w:w="9581" w:type="dxa"/>
        <w:jc w:val="start"/>
        <w:tblInd w:w="0" w:type="dxa"/>
        <w:tblLayout w:type="fixed"/>
        <w:tblCellMar>
          <w:top w:w="0" w:type="dxa"/>
          <w:start w:w="108" w:type="dxa"/>
          <w:bottom w:w="0" w:type="dxa"/>
          <w:end w:w="108" w:type="dxa"/>
        </w:tblCellMar>
      </w:tblPr>
      <w:tblGrid>
        <w:gridCol w:w="6461"/>
        <w:gridCol w:w="3119"/>
      </w:tblGrid>
      <w:tr>
        <w:trPr>
          <w:trHeight w:val="504"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b/>
                <w:sz w:val="24"/>
                <w:szCs w:val="24"/>
              </w:rPr>
            </w:pPr>
            <w:r>
              <w:rPr>
                <w:rFonts w:cs="Times New Roman" w:ascii="Times New Roman" w:hAnsi="Times New Roman"/>
                <w:b/>
                <w:sz w:val="24"/>
                <w:szCs w:val="24"/>
              </w:rPr>
              <w:t>Требования</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b/>
                <w:sz w:val="24"/>
                <w:szCs w:val="24"/>
              </w:rPr>
            </w:pPr>
            <w:r>
              <w:rPr>
                <w:rFonts w:cs="Times New Roman" w:ascii="Times New Roman" w:hAnsi="Times New Roman"/>
                <w:b/>
                <w:sz w:val="24"/>
                <w:szCs w:val="24"/>
              </w:rPr>
              <w:t>Значения</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Диапазон измерений полной массы и нагрузки от группы осей ТС, т (N – число осей ТС, G - число осей в группе)</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rPr>
                <w:rFonts w:ascii="Times New Roman" w:hAnsi="Times New Roman" w:cs="Times New Roman"/>
                <w:sz w:val="24"/>
                <w:szCs w:val="24"/>
              </w:rPr>
            </w:pPr>
            <w:r>
              <w:rPr>
                <w:rFonts w:cs="Times New Roman" w:ascii="Times New Roman" w:hAnsi="Times New Roman"/>
                <w:sz w:val="24"/>
                <w:szCs w:val="24"/>
              </w:rPr>
              <w:t>от (1,5xN) до (20хN)</w:t>
            </w:r>
          </w:p>
          <w:p>
            <w:pPr>
              <w:pStyle w:val="Normal"/>
              <w:widowControl w:val="false"/>
              <w:ind w:firstLine="567" w:start="0" w:end="77"/>
              <w:rPr>
                <w:rFonts w:ascii="Times New Roman" w:hAnsi="Times New Roman" w:cs="Times New Roman"/>
                <w:sz w:val="24"/>
                <w:szCs w:val="24"/>
              </w:rPr>
            </w:pPr>
            <w:r>
              <w:rPr>
                <w:rFonts w:cs="Times New Roman" w:ascii="Times New Roman" w:hAnsi="Times New Roman"/>
                <w:sz w:val="24"/>
                <w:szCs w:val="24"/>
              </w:rPr>
              <w:t>от (1,5xG) до (20хG)</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Пределы допускаемой относительной погрешности при измерении полной массы ТС, %</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center"/>
              <w:rPr>
                <w:rFonts w:ascii="Times New Roman" w:hAnsi="Times New Roman" w:cs="Times New Roman"/>
                <w:sz w:val="24"/>
                <w:szCs w:val="24"/>
              </w:rPr>
            </w:pPr>
            <w:r>
              <w:rPr>
                <w:rFonts w:cs="Times New Roman" w:ascii="Times New Roman" w:hAnsi="Times New Roman"/>
                <w:sz w:val="24"/>
                <w:szCs w:val="24"/>
              </w:rPr>
              <w:t>±5</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Наибольший предел измерения осевых нагрузок ТС, т</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20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Наименьший предел измерения осевых нагрузок ТС, т</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1,5</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Пределы допускаемой относительной погрешности измерений осевой нагрузки ТС, %</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±10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Дискретность отсчета осевых нагрузок и полной массы ТС, кг</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10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Диапазон измерений межосевых расстояний ТС,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0,5 до 32</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Пределы допускаемой абсолютной погрешности  измерений межосевого расстояния ТС,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±0,03</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Диапазон определения количества осей ТС</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1 до 40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Диапазон подсчета числа скатов на оси ТС</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2 до 6</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Диапазон подсчета количества колес на оси ТС</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2 до 6</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Пределы допускаемой абсолютной погрешности измерений габаритных размеров ТС,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 длины,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±0,6</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 ширины,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±0,1</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высоты, м</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±0,06</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Рабочий диапазон скоростей при измерении полной (общей) массы ТС, нагрузки на группу осей ТС, нагрузки на ось ТС, нагрузки на ось в группе осей ТС, межосевых расстояний ТС, габаритных размеров (длина, ширина, высота) ТС, км/ч</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1 до 140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Рабочий диапазон температур, °С</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-40 до +50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Атмосферное давление, кПа</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от 86,6 до 106,7</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Относительная влажность, %</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до 100</w:t>
            </w:r>
          </w:p>
        </w:tc>
      </w:tr>
      <w:tr>
        <w:trPr>
          <w:trHeight w:val="20" w:hRule="atLeast"/>
        </w:trPr>
        <w:tc>
          <w:tcPr>
            <w:tcW w:w="646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hanging="0" w:start="0" w:end="77"/>
              <w:jc w:val="start"/>
              <w:rPr>
                <w:rFonts w:ascii="Times New Roman" w:hAnsi="Times New Roman" w:cs="Times New Roman"/>
                <w:sz w:val="24"/>
                <w:szCs w:val="24"/>
              </w:rPr>
            </w:pPr>
            <w:r>
              <w:rPr>
                <w:rFonts w:cs="Times New Roman" w:ascii="Times New Roman" w:hAnsi="Times New Roman"/>
                <w:sz w:val="24"/>
                <w:szCs w:val="24"/>
              </w:rPr>
              <w:t>Потребляемая мощность, не более, ВА</w:t>
            </w:r>
          </w:p>
        </w:tc>
        <w:tc>
          <w:tcPr>
            <w:tcW w:w="31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ind w:firstLine="567" w:start="0" w:end="77"/>
              <w:jc w:val="center"/>
              <w:rPr>
                <w:rFonts w:ascii="Times New Roman" w:hAnsi="Times New Roman" w:cs="Times New Roman"/>
                <w:sz w:val="24"/>
                <w:szCs w:val="24"/>
              </w:rPr>
            </w:pPr>
            <w:r>
              <w:rPr>
                <w:rFonts w:cs="Times New Roman" w:ascii="Times New Roman" w:hAnsi="Times New Roman"/>
                <w:sz w:val="24"/>
                <w:szCs w:val="24"/>
              </w:rPr>
              <w:t>1500</w:t>
            </w:r>
          </w:p>
        </w:tc>
      </w:tr>
    </w:tbl>
    <w:p>
      <w:pPr>
        <w:pStyle w:val="Normal"/>
        <w:spacing w:before="0" w:after="0"/>
        <w:contextualSpacing/>
        <w:rPr>
          <w:rFonts w:ascii="Times New Roman" w:hAnsi="Times New Roman" w:cs="Times New Roman"/>
          <w:sz w:val="24"/>
          <w:szCs w:val="24"/>
          <w:shd w:fill="FFFFFF" w:val="clear"/>
        </w:rPr>
      </w:pPr>
      <w:r>
        <w:rPr>
          <w:rFonts w:cs="Times New Roman" w:ascii="Times New Roman" w:hAnsi="Times New Roman"/>
          <w:sz w:val="24"/>
          <w:szCs w:val="24"/>
          <w:shd w:fill="FFFFFF" w:val="clear"/>
        </w:rPr>
      </w:r>
    </w:p>
    <w:p>
      <w:pPr>
        <w:pStyle w:val="Normal"/>
        <w:spacing w:before="0" w:after="0"/>
        <w:contextualSpacing/>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before="0" w:after="160"/>
        <w:ind w:firstLine="737" w:start="0" w:end="0"/>
        <w:contextualSpacing/>
        <w:rPr>
          <w:rFonts w:ascii="Times New Roman" w:hAnsi="Times New Roman" w:cs="Times New Roman"/>
          <w:bCs/>
          <w:sz w:val="24"/>
          <w:szCs w:val="24"/>
        </w:rPr>
      </w:pPr>
      <w:r>
        <w:rPr>
          <w:rFonts w:cs="Times New Roman" w:ascii="Times New Roman" w:hAnsi="Times New Roman"/>
          <w:bCs/>
          <w:sz w:val="24"/>
          <w:szCs w:val="24"/>
        </w:rPr>
        <w:t>- ТПИ информирует участников дорожного движения о превышении допустимых весогабаритных параметров транспортного средства. ТПИ обеспечивает ручной и автоматический вывод информации на устройства визуального отображения информации при следующих событиях в автоматическом режиме: Превышение габаритов, превышение нагрузки на ось, превышение общей массы, превышение общей массы и нагрузки на ось, превышение габаритов и нагрузки на ось, превышение габаритов и общей массы.</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r>
    </w:p>
    <w:p>
      <w:pPr>
        <w:pStyle w:val="1"/>
        <w:widowControl/>
        <w:spacing w:before="0" w:after="0"/>
        <w:ind w:hanging="0" w:start="0" w:end="0"/>
        <w:contextualSpacing/>
        <w:jc w:val="center"/>
        <w:rPr>
          <w:rFonts w:ascii="Times New Roman" w:hAnsi="Times New Roman"/>
          <w:sz w:val="24"/>
          <w:szCs w:val="24"/>
        </w:rPr>
      </w:pPr>
      <w:r>
        <w:rPr>
          <w:rFonts w:cs="Times New Roman" w:ascii="Times New Roman" w:hAnsi="Times New Roman"/>
          <w:b/>
          <w:sz w:val="24"/>
          <w:szCs w:val="24"/>
        </w:rPr>
        <w:t>3. Содержание и обеспечение функционирования АПВГК.</w:t>
      </w:r>
    </w:p>
    <w:p>
      <w:pPr>
        <w:pStyle w:val="1"/>
        <w:widowControl/>
        <w:spacing w:before="0" w:after="0"/>
        <w:ind w:hanging="0" w:start="0" w:end="0"/>
        <w:contextualSpacing/>
        <w:jc w:val="center"/>
        <w:rPr>
          <w:rFonts w:ascii="Times New Roman" w:hAnsi="Times New Roman"/>
          <w:sz w:val="24"/>
          <w:szCs w:val="24"/>
        </w:rPr>
      </w:pPr>
      <w:r>
        <w:rPr>
          <w:rFonts w:ascii="Times New Roman" w:hAnsi="Times New Roman"/>
          <w:sz w:val="24"/>
          <w:szCs w:val="24"/>
        </w:rPr>
      </w:r>
    </w:p>
    <w:p>
      <w:pPr>
        <w:pStyle w:val="1"/>
        <w:tabs>
          <w:tab w:val="clear" w:pos="720"/>
          <w:tab w:val="left" w:pos="709" w:leader="none"/>
        </w:tabs>
        <w:spacing w:before="0" w:after="0"/>
        <w:ind w:firstLine="567" w:start="0" w:end="0"/>
        <w:contextualSpacing/>
        <w:rPr>
          <w:rFonts w:ascii="Times New Roman" w:hAnsi="Times New Roman" w:cs="Times New Roman"/>
          <w:b/>
          <w:sz w:val="24"/>
          <w:szCs w:val="24"/>
        </w:rPr>
      </w:pPr>
      <w:r>
        <w:rPr>
          <w:rFonts w:cs="Times New Roman" w:ascii="Times New Roman" w:hAnsi="Times New Roman"/>
          <w:b/>
          <w:sz w:val="24"/>
          <w:szCs w:val="24"/>
        </w:rPr>
        <w:t>3.1. Общие положения.</w:t>
      </w:r>
    </w:p>
    <w:p>
      <w:pPr>
        <w:pStyle w:val="Normal"/>
        <w:widowControl/>
        <w:tabs>
          <w:tab w:val="clear" w:pos="720"/>
          <w:tab w:val="left" w:pos="0" w:leader="none"/>
        </w:tabs>
        <w:bidi w:val="0"/>
        <w:spacing w:lineRule="auto" w:line="240"/>
        <w:ind w:firstLine="567" w:start="0" w:end="0"/>
        <w:jc w:val="both"/>
        <w:rPr>
          <w:rFonts w:ascii="Times New Roman" w:hAnsi="Times New Roman" w:cs="Times New Roman"/>
          <w:sz w:val="24"/>
          <w:szCs w:val="24"/>
        </w:rPr>
      </w:pPr>
      <w:r>
        <w:rPr>
          <w:rFonts w:cs="Times New Roman" w:ascii="Times New Roman" w:hAnsi="Times New Roman"/>
          <w:sz w:val="24"/>
          <w:szCs w:val="24"/>
        </w:rPr>
        <w:t xml:space="preserve">3.1.1. Исполнитель оказывает услуги по содержанию и обеспечению функционирования технических и программных средств, входящих в состав оборудования АПВГК, и организует взаимодействие АПВГК с информационными системами Государственного заказчика. </w:t>
      </w:r>
    </w:p>
    <w:p>
      <w:pPr>
        <w:pStyle w:val="Normal"/>
        <w:widowControl/>
        <w:tabs>
          <w:tab w:val="clear" w:pos="720"/>
          <w:tab w:val="left" w:pos="0" w:leader="none"/>
          <w:tab w:val="left" w:pos="709" w:leader="none"/>
        </w:tabs>
        <w:bidi w:val="0"/>
        <w:spacing w:lineRule="auto" w:line="240"/>
        <w:ind w:firstLine="567" w:start="0" w:end="0"/>
        <w:jc w:val="both"/>
        <w:rPr>
          <w:rFonts w:ascii="Times New Roman" w:hAnsi="Times New Roman" w:cs="Times New Roman"/>
          <w:sz w:val="24"/>
          <w:szCs w:val="24"/>
        </w:rPr>
      </w:pPr>
      <w:r>
        <w:rPr>
          <w:rFonts w:cs="Times New Roman" w:ascii="Times New Roman" w:hAnsi="Times New Roman"/>
          <w:sz w:val="24"/>
          <w:szCs w:val="24"/>
        </w:rPr>
        <w:t>3.1.2. Исполнитель обеспечивает автоматическую фиксацию материалов измерений и проверки транспортных средств для возможности вынесения постановлений об административном правонарушении в области дорожного движения с каждого АПВГК и информационное взаимодействие (обмен данными) с ИС Государственного заказчика.</w:t>
      </w:r>
    </w:p>
    <w:p>
      <w:pPr>
        <w:pStyle w:val="Normal"/>
        <w:widowControl/>
        <w:tabs>
          <w:tab w:val="clear" w:pos="720"/>
          <w:tab w:val="left" w:pos="0" w:leader="none"/>
        </w:tabs>
        <w:bidi w:val="0"/>
        <w:spacing w:lineRule="auto" w:line="240" w:before="0" w:after="0"/>
        <w:ind w:firstLine="567" w:start="0" w:end="0"/>
        <w:contextualSpacing/>
        <w:jc w:val="both"/>
        <w:rPr>
          <w:rFonts w:ascii="Times New Roman" w:hAnsi="Times New Roman" w:cs="Times New Roman"/>
          <w:sz w:val="24"/>
          <w:szCs w:val="24"/>
        </w:rPr>
      </w:pPr>
      <w:r>
        <w:rPr>
          <w:rFonts w:cs="Times New Roman" w:ascii="Times New Roman" w:hAnsi="Times New Roman"/>
          <w:sz w:val="24"/>
          <w:szCs w:val="24"/>
        </w:rPr>
        <w:t>3.1.3. Исполнитель своевременно оказывает услуги по техническому обслуживанию, оперативному восстановлению работоспособности АПВГК при сбоях и отказах в работе технических и программных средств. Обеспечивает автоматическую выгрузку информации, зафиксированной на АПВГК (проезды ТКТС), через каналы связи посредством ВОЛС.</w:t>
      </w:r>
    </w:p>
    <w:p>
      <w:pPr>
        <w:pStyle w:val="Normal"/>
        <w:widowControl/>
        <w:bidi w:val="0"/>
        <w:spacing w:lineRule="auto" w:line="240"/>
        <w:ind w:firstLine="567" w:start="0" w:end="0"/>
        <w:jc w:val="both"/>
        <w:rPr>
          <w:rFonts w:ascii="Times New Roman" w:hAnsi="Times New Roman" w:cs="Times New Roman"/>
          <w:sz w:val="24"/>
          <w:szCs w:val="24"/>
        </w:rPr>
      </w:pPr>
      <w:r>
        <w:rPr>
          <w:rFonts w:cs="Times New Roman" w:ascii="Times New Roman" w:hAnsi="Times New Roman"/>
          <w:sz w:val="24"/>
          <w:szCs w:val="24"/>
        </w:rPr>
        <w:t>3.1.4. Исполнитель обязан осуществлять:</w:t>
      </w:r>
    </w:p>
    <w:p>
      <w:pPr>
        <w:pStyle w:val="Normal"/>
        <w:numPr>
          <w:ilvl w:val="0"/>
          <w:numId w:val="1"/>
        </w:numPr>
        <w:tabs>
          <w:tab w:val="clear" w:pos="720"/>
          <w:tab w:val="left" w:pos="0" w:leader="none"/>
        </w:tabs>
        <w:spacing w:lineRule="auto" w:line="240"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поддержание технических и программных средств АПВГК в работоспособном состоянии в режиме: 24 часа 7 дней в неделю (круглосуточно), при этом обеспечение бесперебойного функционирования технических и программных средств должно осуществляться без потери существующей гарантии (в случае ее наличия на какой-либо из компонентов);</w:t>
      </w:r>
    </w:p>
    <w:p>
      <w:pPr>
        <w:pStyle w:val="Normal"/>
        <w:numPr>
          <w:ilvl w:val="0"/>
          <w:numId w:val="1"/>
        </w:numPr>
        <w:tabs>
          <w:tab w:val="clear" w:pos="720"/>
          <w:tab w:val="left" w:pos="0" w:leader="none"/>
        </w:tabs>
        <w:spacing w:lineRule="auto" w:line="240"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поддержание заданной точности всех компонентов АПВГК;</w:t>
      </w:r>
    </w:p>
    <w:p>
      <w:pPr>
        <w:pStyle w:val="Normal"/>
        <w:numPr>
          <w:ilvl w:val="0"/>
          <w:numId w:val="1"/>
        </w:numPr>
        <w:tabs>
          <w:tab w:val="clear" w:pos="720"/>
          <w:tab w:val="left" w:pos="0" w:leader="none"/>
        </w:tabs>
        <w:spacing w:lineRule="auto" w:line="240" w:before="0" w:after="0"/>
        <w:ind w:firstLine="567" w:start="0" w:end="0"/>
        <w:contextualSpacing/>
        <w:rPr>
          <w:rFonts w:ascii="Times New Roman" w:hAnsi="Times New Roman"/>
          <w:sz w:val="24"/>
          <w:szCs w:val="24"/>
        </w:rPr>
      </w:pPr>
      <w:r>
        <w:rPr>
          <w:rFonts w:cs="Times New Roman" w:ascii="Times New Roman" w:hAnsi="Times New Roman"/>
          <w:sz w:val="24"/>
          <w:szCs w:val="24"/>
        </w:rPr>
        <w:t xml:space="preserve">обновление </w:t>
      </w:r>
      <w:bookmarkStart w:id="19" w:name="_Hlk57126955"/>
      <w:r>
        <w:rPr>
          <w:rFonts w:cs="Times New Roman" w:ascii="Times New Roman" w:hAnsi="Times New Roman"/>
          <w:sz w:val="24"/>
          <w:szCs w:val="24"/>
        </w:rPr>
        <w:t xml:space="preserve">специализированного программного обеспечения АПВГК </w:t>
      </w:r>
      <w:bookmarkEnd w:id="19"/>
      <w:r>
        <w:rPr>
          <w:rFonts w:cs="Times New Roman" w:ascii="Times New Roman" w:hAnsi="Times New Roman"/>
          <w:sz w:val="24"/>
          <w:szCs w:val="24"/>
        </w:rPr>
        <w:t>в целях предоставления корректной информации в информационные системы Государственного заказчика;</w:t>
      </w:r>
    </w:p>
    <w:p>
      <w:pPr>
        <w:pStyle w:val="Normal"/>
        <w:widowControl/>
        <w:numPr>
          <w:ilvl w:val="0"/>
          <w:numId w:val="1"/>
        </w:numPr>
        <w:bidi w:val="0"/>
        <w:spacing w:lineRule="auto" w:line="240" w:before="0" w:after="0"/>
        <w:ind w:firstLine="567" w:start="0" w:end="0"/>
        <w:contextualSpacing/>
        <w:jc w:val="both"/>
        <w:rPr>
          <w:rFonts w:ascii="Times New Roman" w:hAnsi="Times New Roman" w:cs="Times New Roman"/>
          <w:sz w:val="24"/>
          <w:szCs w:val="24"/>
        </w:rPr>
      </w:pPr>
      <w:r>
        <w:rPr>
          <w:rFonts w:cs="Times New Roman" w:ascii="Times New Roman" w:hAnsi="Times New Roman"/>
          <w:sz w:val="24"/>
          <w:szCs w:val="24"/>
        </w:rPr>
        <w:t>поддержание в круглосуточном работоспособном состоянии элементов управления электропитанием;</w:t>
      </w:r>
    </w:p>
    <w:p>
      <w:pPr>
        <w:pStyle w:val="Normal"/>
        <w:widowControl/>
        <w:numPr>
          <w:ilvl w:val="0"/>
          <w:numId w:val="1"/>
        </w:numPr>
        <w:bidi w:val="0"/>
        <w:spacing w:lineRule="auto" w:line="240" w:before="0" w:after="0"/>
        <w:ind w:firstLine="567" w:start="0" w:end="0"/>
        <w:contextualSpacing/>
        <w:jc w:val="both"/>
        <w:rPr>
          <w:rFonts w:ascii="Times New Roman" w:hAnsi="Times New Roman" w:cs="Times New Roman"/>
          <w:sz w:val="24"/>
          <w:szCs w:val="24"/>
        </w:rPr>
      </w:pPr>
      <w:r>
        <w:rPr>
          <w:rFonts w:cs="Times New Roman" w:ascii="Times New Roman" w:hAnsi="Times New Roman"/>
          <w:sz w:val="24"/>
          <w:szCs w:val="24"/>
        </w:rPr>
        <w:t>поддержание в круглосуточном работоспособном состоянии табло переменной информации и метеостанций;</w:t>
      </w:r>
    </w:p>
    <w:p>
      <w:pPr>
        <w:pStyle w:val="Normal"/>
        <w:widowControl/>
        <w:numPr>
          <w:ilvl w:val="0"/>
          <w:numId w:val="1"/>
        </w:numPr>
        <w:bidi w:val="0"/>
        <w:spacing w:lineRule="auto" w:line="240" w:before="0" w:after="0"/>
        <w:ind w:firstLine="567" w:start="0" w:end="0"/>
        <w:contextualSpacing/>
        <w:jc w:val="both"/>
        <w:rPr>
          <w:rFonts w:ascii="Times New Roman" w:hAnsi="Times New Roman" w:cs="Times New Roman"/>
          <w:sz w:val="24"/>
          <w:szCs w:val="24"/>
        </w:rPr>
      </w:pPr>
      <w:r>
        <w:rPr>
          <w:rFonts w:cs="Times New Roman" w:ascii="Times New Roman" w:hAnsi="Times New Roman"/>
          <w:sz w:val="24"/>
          <w:szCs w:val="24"/>
        </w:rPr>
        <w:t>поддержание в круглосуточном работоспособном состоянии оборудования связи, предназначенное для передачи информации посредством ВОЛС.</w:t>
      </w:r>
    </w:p>
    <w:p>
      <w:pPr>
        <w:pStyle w:val="Normal"/>
        <w:widowControl/>
        <w:tabs>
          <w:tab w:val="clear" w:pos="720"/>
          <w:tab w:val="left" w:pos="0" w:leader="none"/>
        </w:tabs>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3.1.5. Исполнитель осуществляет ежегодную плановую поверку метрологических параметров СВК, в порядке, установленном действующим во время действия Договора законодательством.</w:t>
      </w:r>
    </w:p>
    <w:p>
      <w:pPr>
        <w:pStyle w:val="Normal"/>
        <w:tabs>
          <w:tab w:val="clear" w:pos="720"/>
          <w:tab w:val="left" w:pos="0" w:leader="none"/>
        </w:tabs>
        <w:spacing w:lineRule="auto" w:line="240"/>
        <w:rPr>
          <w:rFonts w:ascii="Times New Roman" w:hAnsi="Times New Roman" w:cs="Times New Roman"/>
          <w:sz w:val="24"/>
          <w:szCs w:val="24"/>
        </w:rPr>
      </w:pPr>
      <w:r>
        <w:rPr>
          <w:rFonts w:cs="Times New Roman" w:ascii="Times New Roman" w:hAnsi="Times New Roman"/>
          <w:sz w:val="24"/>
          <w:szCs w:val="24"/>
        </w:rPr>
        <w:t>Поверка выполняется в соответствии с Федеральным законом от 26.06.2008 № 102-ФЗ «Об обеспечении единства средств измерений», приказом Министерства промышленности и торговли РФ  от 31.07.2020 № 2510 «Об утверждении порядка проведения поверки средств измерений, требований к знаку поверки и содержанию свидетельства о поверке», а также в соответствии с методикой поверки СВК. Поверка системы должна осуществляться только аккредитованными в установленном порядке в области обеспечения единства измерений государственными региональными центрами метрологии (на основании постановления Правительства РФ от 20.04.2010 № 250).</w:t>
      </w:r>
    </w:p>
    <w:p>
      <w:pPr>
        <w:pStyle w:val="ListParagraph"/>
        <w:spacing w:lineRule="auto" w:line="240"/>
        <w:ind w:firstLine="567" w:start="0" w:end="0"/>
        <w:rPr>
          <w:rFonts w:ascii="Times New Roman" w:hAnsi="Times New Roman" w:cs="Times New Roman"/>
          <w:sz w:val="24"/>
          <w:szCs w:val="24"/>
        </w:rPr>
      </w:pPr>
      <w:r>
        <w:rPr>
          <w:rFonts w:cs="Times New Roman" w:ascii="Times New Roman" w:hAnsi="Times New Roman"/>
          <w:sz w:val="24"/>
          <w:szCs w:val="24"/>
        </w:rPr>
        <w:t>По результатам поверки метрологических параметров СВК Исполнитель составляет акт проведения поверки системы измерений параметров автомобильных транспортных средств в движении (форма акта устанавливается изготовителем системы) и предоставляет Заказчику свидетельство о поверке с подтверждением внесения сведений о результатах поверки средств измерений в Федеральную государственную информационную систему Росстандарта (ФГИС «АРШИН»).</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3.1.6. Исполнитель не реже одного раза в 2 месяца проводит:</w:t>
      </w:r>
    </w:p>
    <w:p>
      <w:pPr>
        <w:pStyle w:val="Normal"/>
        <w:widowControl/>
        <w:bidi w:val="0"/>
        <w:spacing w:lineRule="auto" w:line="240" w:before="0" w:after="0"/>
        <w:ind w:firstLine="567" w:start="0" w:end="0"/>
        <w:jc w:val="both"/>
        <w:rPr>
          <w:rFonts w:ascii="Times New Roman" w:hAnsi="Times New Roman"/>
          <w:sz w:val="24"/>
          <w:szCs w:val="24"/>
        </w:rPr>
      </w:pPr>
      <w:r>
        <w:rPr>
          <w:rFonts w:cs="Times New Roman" w:ascii="Times New Roman" w:hAnsi="Times New Roman"/>
          <w:sz w:val="24"/>
          <w:szCs w:val="24"/>
        </w:rPr>
        <w:t>- инструментально обследование участков автомобильных дорог, на которых установлено оборудование АПВГК, на предмет их соответствия требованиям пункта 39 Приказа Министерства транспорта Российской Федерации от 31.08.2020 № 348. По результатам инструментального контроля Исполнитель составляет соответствующий акт, который предоставляет Заказчику;</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 измерение колейности и выступания датчиков весоизмерительного оборудования в зоне их размещения и в соответствии с требованиями руководства по эксплуатации.</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 контроль метрологических характеристик СВК с использованием контрольного транспортного средства.</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ab/>
        <w:t xml:space="preserve">- измерение продольного и поперечного уклонов в зоне размещения АПВГК </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3.1.7. Исполнитель ежемесячно готовит и предоставляет Заказчику акт установленной формы за отчетный период (прошедший месяц) с указанием технических сбоев (каких-либо нарушений) в работе оборудования АПВГК, причин, сопутствующих их совершению, и принятых мер по устранению недостатков. В случае отсутствия технических сбоев (нарушений в работе) в акте отражается соответствующая информация.</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3.1.8. При поступлении запросов из надзорного органа (Ространснадзор) по жалобам на постановления по делам об административных правонарушениях, вынесенные на основании актов результатов измерения весовых и габаритных параметров транспортных средств, сформированных на АПВГК, Исполнитель обязан предоставить в адрес Заказчика информацию, подтверждающую корректность фиксации весовых и габаритных параметров транспортных средств с приложением анализа проездов, совершенных через АПВГК.</w:t>
      </w:r>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3.1.9. Выявленные неисправности устраняются Исполнителем в следующем порядке (согласно параметрам оказания сервиса):</w:t>
      </w:r>
    </w:p>
    <w:p>
      <w:pPr>
        <w:pStyle w:val="Normal"/>
        <w:spacing w:lineRule="auto" w:line="240"/>
        <w:rPr>
          <w:rFonts w:ascii="Times New Roman" w:hAnsi="Times New Roman"/>
          <w:sz w:val="24"/>
          <w:szCs w:val="24"/>
        </w:rPr>
      </w:pPr>
      <w:r>
        <w:rPr>
          <w:rFonts w:ascii="Times New Roman" w:hAnsi="Times New Roman"/>
          <w:sz w:val="24"/>
          <w:szCs w:val="24"/>
        </w:rPr>
      </w:r>
    </w:p>
    <w:tbl>
      <w:tblPr>
        <w:tblW w:w="9694" w:type="dxa"/>
        <w:jc w:val="start"/>
        <w:tblInd w:w="-113" w:type="dxa"/>
        <w:tblLayout w:type="fixed"/>
        <w:tblCellMar>
          <w:top w:w="0" w:type="dxa"/>
          <w:start w:w="108" w:type="dxa"/>
          <w:bottom w:w="0" w:type="dxa"/>
          <w:end w:w="108" w:type="dxa"/>
        </w:tblCellMar>
      </w:tblPr>
      <w:tblGrid>
        <w:gridCol w:w="7053"/>
        <w:gridCol w:w="2640"/>
      </w:tblGrid>
      <w:tr>
        <w:trPr>
          <w:tblHeader w:val="true"/>
          <w:trHeight w:val="437" w:hRule="atLeast"/>
        </w:trPr>
        <w:tc>
          <w:tcPr>
            <w:tcW w:w="705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43"/>
              <w:jc w:val="center"/>
              <w:rPr>
                <w:rFonts w:ascii="Times New Roman" w:hAnsi="Times New Roman" w:cs="Times New Roman"/>
                <w:b/>
                <w:bCs/>
                <w:spacing w:val="-2"/>
                <w:sz w:val="24"/>
                <w:szCs w:val="24"/>
              </w:rPr>
            </w:pPr>
            <w:r>
              <w:rPr>
                <w:rFonts w:cs="Times New Roman" w:ascii="Times New Roman" w:hAnsi="Times New Roman"/>
                <w:b/>
                <w:bCs/>
                <w:spacing w:val="-2"/>
                <w:sz w:val="24"/>
                <w:szCs w:val="24"/>
              </w:rPr>
              <w:t>Наименование параметра</w:t>
            </w:r>
          </w:p>
        </w:tc>
        <w:tc>
          <w:tcPr>
            <w:tcW w:w="264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center" w:pos="2254" w:leader="none"/>
                <w:tab w:val="right" w:pos="4508" w:leader="none"/>
              </w:tabs>
              <w:spacing w:lineRule="auto" w:line="240"/>
              <w:ind w:firstLine="8" w:start="6" w:end="0"/>
              <w:jc w:val="center"/>
              <w:rPr>
                <w:rFonts w:ascii="Times New Roman" w:hAnsi="Times New Roman" w:cs="Times New Roman"/>
                <w:b/>
                <w:bCs/>
                <w:spacing w:val="1"/>
                <w:sz w:val="24"/>
                <w:szCs w:val="24"/>
              </w:rPr>
            </w:pPr>
            <w:r>
              <w:rPr>
                <w:rFonts w:cs="Times New Roman" w:ascii="Times New Roman" w:hAnsi="Times New Roman"/>
                <w:b/>
                <w:bCs/>
                <w:spacing w:val="1"/>
                <w:sz w:val="24"/>
                <w:szCs w:val="24"/>
              </w:rPr>
              <w:t>Требования оказания сервиса</w:t>
            </w:r>
          </w:p>
        </w:tc>
      </w:tr>
      <w:tr>
        <w:trPr>
          <w:trHeight w:val="784" w:hRule="atLeast"/>
        </w:trPr>
        <w:tc>
          <w:tcPr>
            <w:tcW w:w="705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4111" w:leader="none"/>
              </w:tabs>
              <w:spacing w:lineRule="auto" w:line="240"/>
              <w:ind w:firstLine="8" w:start="6" w:end="0"/>
              <w:rPr>
                <w:rFonts w:ascii="Times New Roman" w:hAnsi="Times New Roman"/>
                <w:sz w:val="24"/>
                <w:szCs w:val="24"/>
              </w:rPr>
            </w:pPr>
            <w:r>
              <w:rPr>
                <w:rFonts w:cs="Times New Roman" w:ascii="Times New Roman" w:hAnsi="Times New Roman"/>
                <w:sz w:val="24"/>
                <w:szCs w:val="24"/>
              </w:rPr>
              <w:t>Нор</w:t>
            </w:r>
            <w:r>
              <w:rPr>
                <w:rFonts w:cs="Times New Roman" w:ascii="Times New Roman" w:hAnsi="Times New Roman"/>
                <w:spacing w:val="-1"/>
                <w:sz w:val="24"/>
                <w:szCs w:val="24"/>
              </w:rPr>
              <w:t>ма</w:t>
            </w:r>
            <w:r>
              <w:rPr>
                <w:rFonts w:cs="Times New Roman" w:ascii="Times New Roman" w:hAnsi="Times New Roman"/>
                <w:sz w:val="24"/>
                <w:szCs w:val="24"/>
              </w:rPr>
              <w:t>т</w:t>
            </w:r>
            <w:r>
              <w:rPr>
                <w:rFonts w:cs="Times New Roman" w:ascii="Times New Roman" w:hAnsi="Times New Roman"/>
                <w:spacing w:val="2"/>
                <w:sz w:val="24"/>
                <w:szCs w:val="24"/>
              </w:rPr>
              <w:t>и</w:t>
            </w:r>
            <w:r>
              <w:rPr>
                <w:rFonts w:cs="Times New Roman" w:ascii="Times New Roman" w:hAnsi="Times New Roman"/>
                <w:sz w:val="24"/>
                <w:szCs w:val="24"/>
              </w:rPr>
              <w:t>вное вр</w:t>
            </w:r>
            <w:r>
              <w:rPr>
                <w:rFonts w:cs="Times New Roman" w:ascii="Times New Roman" w:hAnsi="Times New Roman"/>
                <w:spacing w:val="-1"/>
                <w:sz w:val="24"/>
                <w:szCs w:val="24"/>
              </w:rPr>
              <w:t>ем</w:t>
            </w:r>
            <w:r>
              <w:rPr>
                <w:rFonts w:cs="Times New Roman" w:ascii="Times New Roman" w:hAnsi="Times New Roman"/>
                <w:sz w:val="24"/>
                <w:szCs w:val="24"/>
              </w:rPr>
              <w:t xml:space="preserve">я </w:t>
            </w:r>
            <w:r>
              <w:rPr>
                <w:rFonts w:cs="Times New Roman" w:ascii="Times New Roman" w:hAnsi="Times New Roman"/>
                <w:spacing w:val="-6"/>
                <w:sz w:val="24"/>
                <w:szCs w:val="24"/>
              </w:rPr>
              <w:t>у</w:t>
            </w:r>
            <w:r>
              <w:rPr>
                <w:rFonts w:cs="Times New Roman" w:ascii="Times New Roman" w:hAnsi="Times New Roman"/>
                <w:spacing w:val="-1"/>
                <w:sz w:val="24"/>
                <w:szCs w:val="24"/>
              </w:rPr>
              <w:t>с</w:t>
            </w:r>
            <w:r>
              <w:rPr>
                <w:rFonts w:cs="Times New Roman" w:ascii="Times New Roman" w:hAnsi="Times New Roman"/>
                <w:spacing w:val="3"/>
                <w:sz w:val="24"/>
                <w:szCs w:val="24"/>
              </w:rPr>
              <w:t>т</w:t>
            </w:r>
            <w:r>
              <w:rPr>
                <w:rFonts w:cs="Times New Roman" w:ascii="Times New Roman" w:hAnsi="Times New Roman"/>
                <w:sz w:val="24"/>
                <w:szCs w:val="24"/>
              </w:rPr>
              <w:t>р</w:t>
            </w:r>
            <w:r>
              <w:rPr>
                <w:rFonts w:cs="Times New Roman" w:ascii="Times New Roman" w:hAnsi="Times New Roman"/>
                <w:spacing w:val="-1"/>
                <w:sz w:val="24"/>
                <w:szCs w:val="24"/>
              </w:rPr>
              <w:t>а</w:t>
            </w:r>
            <w:r>
              <w:rPr>
                <w:rFonts w:cs="Times New Roman" w:ascii="Times New Roman" w:hAnsi="Times New Roman"/>
                <w:spacing w:val="1"/>
                <w:sz w:val="24"/>
                <w:szCs w:val="24"/>
              </w:rPr>
              <w:t>н</w:t>
            </w:r>
            <w:r>
              <w:rPr>
                <w:rFonts w:cs="Times New Roman" w:ascii="Times New Roman" w:hAnsi="Times New Roman"/>
                <w:spacing w:val="-1"/>
                <w:sz w:val="24"/>
                <w:szCs w:val="24"/>
              </w:rPr>
              <w:t>е</w:t>
            </w:r>
            <w:r>
              <w:rPr>
                <w:rFonts w:cs="Times New Roman" w:ascii="Times New Roman" w:hAnsi="Times New Roman"/>
                <w:spacing w:val="1"/>
                <w:sz w:val="24"/>
                <w:szCs w:val="24"/>
              </w:rPr>
              <w:t>ни</w:t>
            </w:r>
            <w:r>
              <w:rPr>
                <w:rFonts w:cs="Times New Roman" w:ascii="Times New Roman" w:hAnsi="Times New Roman"/>
                <w:sz w:val="24"/>
                <w:szCs w:val="24"/>
              </w:rPr>
              <w:t>я (полная неработоспособность Оборудования АПВГК продолжительностью более 15 минут)</w:t>
            </w:r>
          </w:p>
        </w:tc>
        <w:tc>
          <w:tcPr>
            <w:tcW w:w="264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0"/>
              <w:jc w:val="center"/>
              <w:rPr>
                <w:rFonts w:ascii="Times New Roman" w:hAnsi="Times New Roman" w:cs="Times New Roman"/>
                <w:sz w:val="24"/>
                <w:szCs w:val="24"/>
              </w:rPr>
            </w:pPr>
            <w:r>
              <w:rPr>
                <w:rFonts w:cs="Times New Roman" w:ascii="Times New Roman" w:hAnsi="Times New Roman"/>
                <w:sz w:val="24"/>
                <w:szCs w:val="24"/>
              </w:rPr>
              <w:t>не более 2 (двух) рабочих дней</w:t>
            </w:r>
          </w:p>
        </w:tc>
      </w:tr>
      <w:tr>
        <w:trPr>
          <w:trHeight w:val="897" w:hRule="atLeast"/>
        </w:trPr>
        <w:tc>
          <w:tcPr>
            <w:tcW w:w="705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57"/>
              <w:rPr>
                <w:rFonts w:ascii="Times New Roman" w:hAnsi="Times New Roman"/>
                <w:sz w:val="24"/>
                <w:szCs w:val="24"/>
              </w:rPr>
            </w:pPr>
            <w:r>
              <w:rPr>
                <w:rFonts w:cs="Times New Roman" w:ascii="Times New Roman" w:hAnsi="Times New Roman"/>
                <w:sz w:val="24"/>
                <w:szCs w:val="24"/>
              </w:rPr>
              <w:t>Нор</w:t>
            </w:r>
            <w:r>
              <w:rPr>
                <w:rFonts w:cs="Times New Roman" w:ascii="Times New Roman" w:hAnsi="Times New Roman"/>
                <w:spacing w:val="-1"/>
                <w:sz w:val="24"/>
                <w:szCs w:val="24"/>
              </w:rPr>
              <w:t>ма</w:t>
            </w:r>
            <w:r>
              <w:rPr>
                <w:rFonts w:cs="Times New Roman" w:ascii="Times New Roman" w:hAnsi="Times New Roman"/>
                <w:sz w:val="24"/>
                <w:szCs w:val="24"/>
              </w:rPr>
              <w:t>т</w:t>
            </w:r>
            <w:r>
              <w:rPr>
                <w:rFonts w:cs="Times New Roman" w:ascii="Times New Roman" w:hAnsi="Times New Roman"/>
                <w:spacing w:val="2"/>
                <w:sz w:val="24"/>
                <w:szCs w:val="24"/>
              </w:rPr>
              <w:t>и</w:t>
            </w:r>
            <w:r>
              <w:rPr>
                <w:rFonts w:cs="Times New Roman" w:ascii="Times New Roman" w:hAnsi="Times New Roman"/>
                <w:sz w:val="24"/>
                <w:szCs w:val="24"/>
              </w:rPr>
              <w:t>вное вр</w:t>
            </w:r>
            <w:r>
              <w:rPr>
                <w:rFonts w:cs="Times New Roman" w:ascii="Times New Roman" w:hAnsi="Times New Roman"/>
                <w:spacing w:val="-1"/>
                <w:sz w:val="24"/>
                <w:szCs w:val="24"/>
              </w:rPr>
              <w:t>ем</w:t>
            </w:r>
            <w:r>
              <w:rPr>
                <w:rFonts w:cs="Times New Roman" w:ascii="Times New Roman" w:hAnsi="Times New Roman"/>
                <w:sz w:val="24"/>
                <w:szCs w:val="24"/>
              </w:rPr>
              <w:t xml:space="preserve">я </w:t>
            </w:r>
            <w:r>
              <w:rPr>
                <w:rFonts w:cs="Times New Roman" w:ascii="Times New Roman" w:hAnsi="Times New Roman"/>
                <w:spacing w:val="-6"/>
                <w:sz w:val="24"/>
                <w:szCs w:val="24"/>
              </w:rPr>
              <w:t>у</w:t>
            </w:r>
            <w:r>
              <w:rPr>
                <w:rFonts w:cs="Times New Roman" w:ascii="Times New Roman" w:hAnsi="Times New Roman"/>
                <w:spacing w:val="-1"/>
                <w:sz w:val="24"/>
                <w:szCs w:val="24"/>
              </w:rPr>
              <w:t>с</w:t>
            </w:r>
            <w:r>
              <w:rPr>
                <w:rFonts w:cs="Times New Roman" w:ascii="Times New Roman" w:hAnsi="Times New Roman"/>
                <w:spacing w:val="3"/>
                <w:sz w:val="24"/>
                <w:szCs w:val="24"/>
              </w:rPr>
              <w:t>т</w:t>
            </w:r>
            <w:r>
              <w:rPr>
                <w:rFonts w:cs="Times New Roman" w:ascii="Times New Roman" w:hAnsi="Times New Roman"/>
                <w:sz w:val="24"/>
                <w:szCs w:val="24"/>
              </w:rPr>
              <w:t>р</w:t>
            </w:r>
            <w:r>
              <w:rPr>
                <w:rFonts w:cs="Times New Roman" w:ascii="Times New Roman" w:hAnsi="Times New Roman"/>
                <w:spacing w:val="-1"/>
                <w:sz w:val="24"/>
                <w:szCs w:val="24"/>
              </w:rPr>
              <w:t>а</w:t>
            </w:r>
            <w:r>
              <w:rPr>
                <w:rFonts w:cs="Times New Roman" w:ascii="Times New Roman" w:hAnsi="Times New Roman"/>
                <w:spacing w:val="1"/>
                <w:sz w:val="24"/>
                <w:szCs w:val="24"/>
              </w:rPr>
              <w:t>н</w:t>
            </w:r>
            <w:r>
              <w:rPr>
                <w:rFonts w:cs="Times New Roman" w:ascii="Times New Roman" w:hAnsi="Times New Roman"/>
                <w:spacing w:val="-1"/>
                <w:sz w:val="24"/>
                <w:szCs w:val="24"/>
              </w:rPr>
              <w:t>е</w:t>
            </w:r>
            <w:r>
              <w:rPr>
                <w:rFonts w:cs="Times New Roman" w:ascii="Times New Roman" w:hAnsi="Times New Roman"/>
                <w:spacing w:val="1"/>
                <w:sz w:val="24"/>
                <w:szCs w:val="24"/>
              </w:rPr>
              <w:t>ни</w:t>
            </w:r>
            <w:r>
              <w:rPr>
                <w:rFonts w:cs="Times New Roman" w:ascii="Times New Roman" w:hAnsi="Times New Roman"/>
                <w:sz w:val="24"/>
                <w:szCs w:val="24"/>
              </w:rPr>
              <w:t>я (любые возникающие неисправности элементов Оборудования АПВГК, приводящие к ограничению функционала Оборудования)</w:t>
            </w:r>
          </w:p>
        </w:tc>
        <w:tc>
          <w:tcPr>
            <w:tcW w:w="264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0"/>
              <w:jc w:val="center"/>
              <w:rPr>
                <w:rFonts w:ascii="Times New Roman" w:hAnsi="Times New Roman" w:cs="Times New Roman"/>
                <w:sz w:val="24"/>
                <w:szCs w:val="24"/>
              </w:rPr>
            </w:pPr>
            <w:r>
              <w:rPr>
                <w:rFonts w:cs="Times New Roman" w:ascii="Times New Roman" w:hAnsi="Times New Roman"/>
                <w:sz w:val="24"/>
                <w:szCs w:val="24"/>
              </w:rPr>
              <w:t>не более 5 (пяти) рабочих дней</w:t>
            </w:r>
          </w:p>
        </w:tc>
      </w:tr>
      <w:tr>
        <w:trPr>
          <w:trHeight w:val="912" w:hRule="atLeast"/>
        </w:trPr>
        <w:tc>
          <w:tcPr>
            <w:tcW w:w="705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57"/>
              <w:rPr>
                <w:rFonts w:ascii="Times New Roman" w:hAnsi="Times New Roman"/>
                <w:sz w:val="24"/>
                <w:szCs w:val="24"/>
              </w:rPr>
            </w:pPr>
            <w:r>
              <w:rPr>
                <w:rFonts w:cs="Times New Roman" w:ascii="Times New Roman" w:hAnsi="Times New Roman"/>
                <w:sz w:val="24"/>
                <w:szCs w:val="24"/>
              </w:rPr>
              <w:t>Нор</w:t>
            </w:r>
            <w:r>
              <w:rPr>
                <w:rFonts w:cs="Times New Roman" w:ascii="Times New Roman" w:hAnsi="Times New Roman"/>
                <w:spacing w:val="-1"/>
                <w:sz w:val="24"/>
                <w:szCs w:val="24"/>
              </w:rPr>
              <w:t>ма</w:t>
            </w:r>
            <w:r>
              <w:rPr>
                <w:rFonts w:cs="Times New Roman" w:ascii="Times New Roman" w:hAnsi="Times New Roman"/>
                <w:sz w:val="24"/>
                <w:szCs w:val="24"/>
              </w:rPr>
              <w:t>т</w:t>
            </w:r>
            <w:r>
              <w:rPr>
                <w:rFonts w:cs="Times New Roman" w:ascii="Times New Roman" w:hAnsi="Times New Roman"/>
                <w:spacing w:val="2"/>
                <w:sz w:val="24"/>
                <w:szCs w:val="24"/>
              </w:rPr>
              <w:t>и</w:t>
            </w:r>
            <w:r>
              <w:rPr>
                <w:rFonts w:cs="Times New Roman" w:ascii="Times New Roman" w:hAnsi="Times New Roman"/>
                <w:sz w:val="24"/>
                <w:szCs w:val="24"/>
              </w:rPr>
              <w:t>вное вр</w:t>
            </w:r>
            <w:r>
              <w:rPr>
                <w:rFonts w:cs="Times New Roman" w:ascii="Times New Roman" w:hAnsi="Times New Roman"/>
                <w:spacing w:val="-1"/>
                <w:sz w:val="24"/>
                <w:szCs w:val="24"/>
              </w:rPr>
              <w:t>ем</w:t>
            </w:r>
            <w:r>
              <w:rPr>
                <w:rFonts w:cs="Times New Roman" w:ascii="Times New Roman" w:hAnsi="Times New Roman"/>
                <w:sz w:val="24"/>
                <w:szCs w:val="24"/>
              </w:rPr>
              <w:t xml:space="preserve">я </w:t>
            </w:r>
            <w:r>
              <w:rPr>
                <w:rFonts w:cs="Times New Roman" w:ascii="Times New Roman" w:hAnsi="Times New Roman"/>
                <w:spacing w:val="-6"/>
                <w:sz w:val="24"/>
                <w:szCs w:val="24"/>
              </w:rPr>
              <w:t>у</w:t>
            </w:r>
            <w:r>
              <w:rPr>
                <w:rFonts w:cs="Times New Roman" w:ascii="Times New Roman" w:hAnsi="Times New Roman"/>
                <w:spacing w:val="-1"/>
                <w:sz w:val="24"/>
                <w:szCs w:val="24"/>
              </w:rPr>
              <w:t>с</w:t>
            </w:r>
            <w:r>
              <w:rPr>
                <w:rFonts w:cs="Times New Roman" w:ascii="Times New Roman" w:hAnsi="Times New Roman"/>
                <w:spacing w:val="3"/>
                <w:sz w:val="24"/>
                <w:szCs w:val="24"/>
              </w:rPr>
              <w:t>т</w:t>
            </w:r>
            <w:r>
              <w:rPr>
                <w:rFonts w:cs="Times New Roman" w:ascii="Times New Roman" w:hAnsi="Times New Roman"/>
                <w:sz w:val="24"/>
                <w:szCs w:val="24"/>
              </w:rPr>
              <w:t>р</w:t>
            </w:r>
            <w:r>
              <w:rPr>
                <w:rFonts w:cs="Times New Roman" w:ascii="Times New Roman" w:hAnsi="Times New Roman"/>
                <w:spacing w:val="-1"/>
                <w:sz w:val="24"/>
                <w:szCs w:val="24"/>
              </w:rPr>
              <w:t>а</w:t>
            </w:r>
            <w:r>
              <w:rPr>
                <w:rFonts w:cs="Times New Roman" w:ascii="Times New Roman" w:hAnsi="Times New Roman"/>
                <w:spacing w:val="1"/>
                <w:sz w:val="24"/>
                <w:szCs w:val="24"/>
              </w:rPr>
              <w:t>н</w:t>
            </w:r>
            <w:r>
              <w:rPr>
                <w:rFonts w:cs="Times New Roman" w:ascii="Times New Roman" w:hAnsi="Times New Roman"/>
                <w:spacing w:val="-1"/>
                <w:sz w:val="24"/>
                <w:szCs w:val="24"/>
              </w:rPr>
              <w:t>е</w:t>
            </w:r>
            <w:r>
              <w:rPr>
                <w:rFonts w:cs="Times New Roman" w:ascii="Times New Roman" w:hAnsi="Times New Roman"/>
                <w:spacing w:val="1"/>
                <w:sz w:val="24"/>
                <w:szCs w:val="24"/>
              </w:rPr>
              <w:t>ни</w:t>
            </w:r>
            <w:r>
              <w:rPr>
                <w:rFonts w:cs="Times New Roman" w:ascii="Times New Roman" w:hAnsi="Times New Roman"/>
                <w:sz w:val="24"/>
                <w:szCs w:val="24"/>
              </w:rPr>
              <w:t>я (любые возникающие неисправности Оборудования АВПГК, не приводящие к ограничению функционала Оборудования)</w:t>
            </w:r>
          </w:p>
        </w:tc>
        <w:tc>
          <w:tcPr>
            <w:tcW w:w="264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ind w:firstLine="8" w:start="6" w:end="0"/>
              <w:jc w:val="center"/>
              <w:rPr>
                <w:rFonts w:ascii="Times New Roman" w:hAnsi="Times New Roman" w:cs="Times New Roman"/>
                <w:sz w:val="24"/>
                <w:szCs w:val="24"/>
              </w:rPr>
            </w:pPr>
            <w:r>
              <w:rPr>
                <w:rFonts w:cs="Times New Roman" w:ascii="Times New Roman" w:hAnsi="Times New Roman"/>
                <w:sz w:val="24"/>
                <w:szCs w:val="24"/>
              </w:rPr>
              <w:t>не более 15 (пятнадцати) рабочих дней</w:t>
            </w:r>
          </w:p>
        </w:tc>
      </w:tr>
    </w:tbl>
    <w:p>
      <w:pPr>
        <w:pStyle w:val="Normal"/>
        <w:spacing w:lineRule="auto" w:line="240"/>
        <w:rPr>
          <w:rFonts w:ascii="Times New Roman" w:hAnsi="Times New Roman"/>
          <w:sz w:val="24"/>
          <w:szCs w:val="24"/>
        </w:rPr>
      </w:pPr>
      <w:r>
        <w:rPr>
          <w:rFonts w:ascii="Times New Roman" w:hAnsi="Times New Roman"/>
          <w:sz w:val="24"/>
          <w:szCs w:val="24"/>
        </w:rPr>
      </w:r>
    </w:p>
    <w:p>
      <w:pPr>
        <w:pStyle w:val="Normal"/>
        <w:widowControl/>
        <w:bidi w:val="0"/>
        <w:spacing w:lineRule="auto" w:line="240" w:before="0" w:after="0"/>
        <w:ind w:firstLine="567" w:start="0" w:end="0"/>
        <w:jc w:val="both"/>
        <w:rPr>
          <w:rFonts w:ascii="Times New Roman" w:hAnsi="Times New Roman"/>
          <w:sz w:val="24"/>
          <w:szCs w:val="24"/>
        </w:rPr>
      </w:pPr>
      <w:r>
        <w:rPr>
          <w:rFonts w:cs="Times New Roman" w:ascii="Times New Roman" w:hAnsi="Times New Roman"/>
          <w:sz w:val="24"/>
          <w:szCs w:val="24"/>
        </w:rPr>
        <w:t xml:space="preserve">Замена и (или) ремонт оборудования, включая замену дорожных датчиков при ремонте дорожного полотна, в месте установки АПВГК, не входят в состав обязательств Исполнителя по настоящему Техническому заданию </w:t>
      </w:r>
      <w:r>
        <w:rPr>
          <w:rFonts w:cs="Times New Roman" w:ascii="Times New Roman" w:hAnsi="Times New Roman"/>
          <w:sz w:val="24"/>
          <w:szCs w:val="24"/>
          <w:lang w:eastAsia="ar-SA"/>
        </w:rPr>
        <w:t>и оплачиваются Исполнителю Заказчиком отдельно на основании счета.</w:t>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widowControl/>
        <w:tabs>
          <w:tab w:val="clear" w:pos="720"/>
          <w:tab w:val="left" w:pos="567" w:leader="none"/>
        </w:tabs>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3.1.10. Содержание АПВГК, не формирующего материалы об административном правонарушении, осуществляется по согласованию с Заказчиком. Не формирующим материалы об административном правонарушении, считается АПВГК, не производящий формирование материалов об административном правонарушении по причинам:</w:t>
      </w:r>
    </w:p>
    <w:p>
      <w:pPr>
        <w:pStyle w:val="ListParagraph"/>
        <w:widowControl w:val="false"/>
        <w:numPr>
          <w:ilvl w:val="0"/>
          <w:numId w:val="2"/>
        </w:numPr>
        <w:spacing w:lineRule="auto" w:line="240"/>
        <w:ind w:firstLine="567" w:start="0" w:end="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отключения данного функционала Государственным заказчиком;</w:t>
      </w:r>
    </w:p>
    <w:p>
      <w:pPr>
        <w:pStyle w:val="ListParagraph"/>
        <w:widowControl w:val="false"/>
        <w:numPr>
          <w:ilvl w:val="0"/>
          <w:numId w:val="2"/>
        </w:numPr>
        <w:spacing w:lineRule="auto" w:line="240"/>
        <w:ind w:firstLine="567" w:start="0" w:end="0"/>
        <w:rPr>
          <w:rFonts w:ascii="Times New Roman" w:hAnsi="Times New Roman" w:cs="Times New Roman"/>
          <w:sz w:val="24"/>
          <w:szCs w:val="24"/>
        </w:rPr>
      </w:pPr>
      <w:r>
        <w:rPr>
          <w:rFonts w:cs="Times New Roman" w:ascii="Times New Roman" w:hAnsi="Times New Roman"/>
          <w:sz w:val="24"/>
          <w:szCs w:val="24"/>
        </w:rPr>
        <w:t>выхода из строя оборудования или программного обеспечения вследствие чего формирование материалов об административном правонарушении невозможно;</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3.1.11. Исполнитель должен обеспечить оказание услуг с применением материалов, изделий и необходимого оборудования, имеющего соответствующие сертификаты, технические паспорта и другие документы, подтверждающие надлежащее качество применяемых материалов, изделий и оборудования.</w:t>
      </w:r>
    </w:p>
    <w:p>
      <w:pPr>
        <w:pStyle w:val="Normal"/>
        <w:spacing w:before="0" w:after="0"/>
        <w:ind w:firstLine="567" w:start="0" w:end="0"/>
        <w:contextualSpacing/>
        <w:rPr>
          <w:rFonts w:ascii="Times New Roman" w:hAnsi="Times New Roman"/>
          <w:sz w:val="24"/>
          <w:szCs w:val="24"/>
        </w:rPr>
      </w:pPr>
      <w:r>
        <w:rPr>
          <w:rFonts w:cs="Times New Roman" w:ascii="Times New Roman" w:hAnsi="Times New Roman"/>
          <w:sz w:val="24"/>
          <w:szCs w:val="24"/>
        </w:rPr>
        <w:t>3.1.12. Оказываемые услуги по содержанию, обеспечению функционирования и оперативному восстановлению работоспособности технических и программных средств АПВГК, должны выполняться в объеме и с периодичностью, согласно пунктам 3.2 настоящего Технического задания, строго в соответствии с требованиями настоящего Технического задания и действующими нормативными документами.</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3.1.13. В рамках оказания услуг при наступлении случаев выхода из строя оборудования АПВГК, находящегося на гарантии производителя (поставщика) Исполнитель осуществляет демонтаж такого оборудования, отправку демонтированного оборудования производителю (поставщику), получение отремонтированного или замененного по гарантии оборудования, монтаж гарантийного оборудования в течение 5 рабочих дней с момента получения гарантийного оборудования от производителя (поставщика). Плановые сроки ремонта или обмена гарантийного оборудования указываются в Акте обследования АПВГК и в дальнейшем согласовываются Заказчиком.</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3.1.14. Ежемесячно, перед приемкой оказанных услуг Исполнитель формирует отчет о проведенных работах за прошедший месяц, с приложением подтверждающих материалов.</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3.1.15. Во всех случаях выхода из строя технических и (или) программных средств АПВГК, Исполнителем составляется Акт обследования АПВГК с указанием:</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причин сбоев или выхода из строя оборудования или отдельных компонентов;</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сроков восстановления работоспособности оборудования, в случае устранения причин сбоев или выхода из строя оборудования или отдельных компонентов, в рамках проведения оказываемых услуг;</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t xml:space="preserve">- предложений о проведении необходимых мероприятий по восстановлению работоспособности оборудования, в случае возникновения необходимости в устранении причин сбоев или выхода из строя оборудования или отдельных компонентов, в рамках проведения работ, не определенных настоящим Техническим заданием (далее – нерегламентированных работ), с указанием плановых сроков и ориентировочной стоимостью выполнения необходимых работ. </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3.1.16. Все необходимые мероприятия и действия, направленные на восстановление работоспособности оборудования АПВГК, осуществляемые в рамках нерегламентированных работ, выполняются Исполнителем после подписания Государственным заказчиком Акта обследования АПВГК и согласования стоимости этих работ.</w:t>
      </w:r>
    </w:p>
    <w:p>
      <w:pPr>
        <w:pStyle w:val="Normal"/>
        <w:spacing w:before="0" w:after="0"/>
        <w:ind w:firstLine="567" w:start="0" w:end="0"/>
        <w:contextualSpacing/>
        <w:rPr>
          <w:rFonts w:ascii="Times New Roman" w:hAnsi="Times New Roman" w:cs="Times New Roman"/>
          <w:sz w:val="24"/>
          <w:szCs w:val="24"/>
        </w:rPr>
      </w:pPr>
      <w:r>
        <w:rPr>
          <w:rFonts w:cs="Times New Roman" w:ascii="Times New Roman" w:hAnsi="Times New Roman"/>
          <w:sz w:val="24"/>
          <w:szCs w:val="24"/>
        </w:rPr>
        <w:t>3.1.17. Акт обследования АПВГК оформляется Исполнителем в течение 24-х часов с момента выявления факта выхода из строя технических и программных средств АПВГК и направляется Заказчику.</w:t>
      </w:r>
    </w:p>
    <w:p>
      <w:pPr>
        <w:pStyle w:val="Normal"/>
        <w:widowControl/>
        <w:tabs>
          <w:tab w:val="clear" w:pos="720"/>
          <w:tab w:val="left" w:pos="0" w:leader="none"/>
        </w:tabs>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3.1.18. На основании Акта обследования АПВГК и анализа причин выхода из строя технических и программных средств АПВГК, Государственным заказчиком принимается решение о дальнейшем проведении необходимых мероприятий и действий, направленных на восстановление работоспособности оборудования АПВГК. Исполнитель обеспечивает оперативное устранение причин сбоев или выхода из строя оборудования или отдельных комплектующих, в рамках проведения нерегламентированных работ. По факту выполнения нерегламентированных работ по восстановлению работоспособности оборудования АПВГК, Государственным заказчиком и Исполнителем оформляется Акт ввода в эксплуатацию нового и (или) отремонтированного оборудования и (или) отдельных комплектующих и (или) восстановленных программных средств АПВГК (далее – Акт ввода в эксплуатацию восстановленного оборудования).</w:t>
      </w:r>
    </w:p>
    <w:p>
      <w:pPr>
        <w:pStyle w:val="Normal"/>
        <w:widowControl/>
        <w:tabs>
          <w:tab w:val="clear" w:pos="720"/>
          <w:tab w:val="left" w:pos="0" w:leader="none"/>
        </w:tabs>
        <w:bidi w:val="0"/>
        <w:spacing w:lineRule="auto" w:line="240" w:before="0" w:after="0"/>
        <w:ind w:firstLine="567" w:start="0" w:end="0"/>
        <w:jc w:val="both"/>
        <w:rPr>
          <w:rFonts w:ascii="Times New Roman" w:hAnsi="Times New Roman" w:cs="Times New Roman"/>
          <w:sz w:val="24"/>
          <w:szCs w:val="24"/>
        </w:rPr>
      </w:pPr>
      <w:bookmarkStart w:id="20" w:name="_Hlk59443817"/>
      <w:r>
        <w:rPr>
          <w:rFonts w:cs="Times New Roman" w:ascii="Times New Roman" w:hAnsi="Times New Roman"/>
          <w:sz w:val="24"/>
          <w:szCs w:val="24"/>
        </w:rPr>
        <w:t>3.1.19. После проведения нерегламентированных работ, направленных на восстановление работоспособности оборудования АПВГК и подписания Акта ввода в эксплуатацию восстановленного оборудования, Исполнитель в течение 24-х часов с момента подписания Акта ввода в эксплуатацию восстановленного оборудования, выполняет необходимый объем работ, определенных настоящим Техническим заданием, направленных на полное восстановление работоспособности и функционирование технических и программных средств АПВГК.</w:t>
      </w:r>
      <w:bookmarkEnd w:id="20"/>
    </w:p>
    <w:p>
      <w:pPr>
        <w:pStyle w:val="Normal"/>
        <w:widowControl/>
        <w:bidi w:val="0"/>
        <w:spacing w:lineRule="auto" w:line="240" w:before="0" w:after="0"/>
        <w:ind w:firstLine="567" w:start="0" w:end="0"/>
        <w:jc w:val="both"/>
        <w:rPr>
          <w:rFonts w:ascii="Times New Roman" w:hAnsi="Times New Roman" w:cs="Times New Roman"/>
          <w:sz w:val="24"/>
          <w:szCs w:val="24"/>
        </w:rPr>
      </w:pPr>
      <w:r>
        <w:rPr>
          <w:rFonts w:cs="Times New Roman" w:ascii="Times New Roman" w:hAnsi="Times New Roman"/>
          <w:sz w:val="24"/>
          <w:szCs w:val="24"/>
        </w:rPr>
        <w:t xml:space="preserve">3.1.20. В счет общей стоимости оказания услуг по Договору Исполнитель обеспечивает комплексы АПВГК электроснабжением, в том числе производит оплату за потребленную электроэнергию. </w:t>
      </w:r>
    </w:p>
    <w:p>
      <w:pPr>
        <w:pStyle w:val="Normal"/>
        <w:widowControl/>
        <w:bidi w:val="0"/>
        <w:spacing w:lineRule="auto" w:line="240" w:before="0" w:after="0"/>
        <w:ind w:firstLine="567" w:start="0" w:end="0"/>
        <w:jc w:val="both"/>
        <w:rPr>
          <w:rFonts w:ascii="Times New Roman" w:hAnsi="Times New Roman"/>
          <w:sz w:val="24"/>
          <w:szCs w:val="24"/>
        </w:rPr>
      </w:pPr>
      <w:r>
        <w:rPr>
          <w:rFonts w:cs="Times New Roman" w:ascii="Times New Roman" w:hAnsi="Times New Roman"/>
          <w:sz w:val="24"/>
          <w:szCs w:val="24"/>
        </w:rPr>
        <w:t xml:space="preserve">Каналы связи должны обеспечивать стабильную передачу данных, без потерь объема и качества передаваемых сведений от АПВГК до информационных систем Государственного Заказчика. </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r>
    </w:p>
    <w:tbl>
      <w:tblPr>
        <w:tblW w:w="9642" w:type="dxa"/>
        <w:jc w:val="start"/>
        <w:tblInd w:w="-4" w:type="dxa"/>
        <w:tblLayout w:type="fixed"/>
        <w:tblCellMar>
          <w:top w:w="57" w:type="dxa"/>
          <w:start w:w="57" w:type="dxa"/>
          <w:bottom w:w="57" w:type="dxa"/>
          <w:end w:w="57" w:type="dxa"/>
        </w:tblCellMar>
      </w:tblPr>
      <w:tblGrid>
        <w:gridCol w:w="4909"/>
        <w:gridCol w:w="1419"/>
        <w:gridCol w:w="1274"/>
        <w:gridCol w:w="2039"/>
      </w:tblGrid>
      <w:tr>
        <w:trPr>
          <w:trHeight w:val="619" w:hRule="atLeast"/>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b/>
                <w:bCs/>
                <w:sz w:val="24"/>
                <w:szCs w:val="24"/>
              </w:rPr>
            </w:pPr>
            <w:r>
              <w:rPr>
                <w:rFonts w:cs="Times New Roman" w:ascii="Times New Roman" w:hAnsi="Times New Roman"/>
                <w:b/>
                <w:bCs/>
                <w:sz w:val="24"/>
                <w:szCs w:val="24"/>
              </w:rPr>
              <w:t>Адрес расположения комплекса АПВГК (наименование а/д)</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b/>
                <w:bCs/>
                <w:sz w:val="24"/>
                <w:szCs w:val="24"/>
              </w:rPr>
            </w:pPr>
            <w:r>
              <w:rPr>
                <w:rFonts w:cs="Times New Roman" w:ascii="Times New Roman" w:hAnsi="Times New Roman"/>
                <w:b/>
                <w:bCs/>
                <w:sz w:val="24"/>
                <w:szCs w:val="24"/>
              </w:rPr>
              <w:t>Технология подключе-ния</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b/>
                <w:bCs/>
                <w:sz w:val="24"/>
                <w:szCs w:val="24"/>
              </w:rPr>
            </w:pPr>
            <w:r>
              <w:rPr>
                <w:rFonts w:cs="Times New Roman" w:ascii="Times New Roman" w:hAnsi="Times New Roman"/>
                <w:b/>
                <w:bCs/>
                <w:sz w:val="24"/>
                <w:szCs w:val="24"/>
              </w:rPr>
              <w:t>Скорость подклю-чения</w:t>
            </w:r>
          </w:p>
        </w:tc>
        <w:tc>
          <w:tcPr>
            <w:tcW w:w="203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b/>
                <w:bCs/>
                <w:sz w:val="24"/>
                <w:szCs w:val="24"/>
              </w:rPr>
            </w:pPr>
            <w:r>
              <w:rPr>
                <w:rFonts w:cs="Times New Roman" w:ascii="Times New Roman" w:hAnsi="Times New Roman"/>
                <w:b/>
                <w:bCs/>
                <w:sz w:val="24"/>
                <w:szCs w:val="24"/>
              </w:rPr>
              <w:t>Адрес ЦОД</w:t>
            </w:r>
          </w:p>
        </w:tc>
      </w:tr>
      <w:tr>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Курган – Звериноголовское (до границы Казахстана) в Звериноголовском муниципальном округе Курганской области на участке км 127+150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tc>
      </w:tr>
      <w:tr>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Шадринск – Миасское в Катайском муниципальном округе Курганской области на участке км 75+210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tc>
      </w:tr>
      <w:tr>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Шадринск – Ялуторовск в Шатровском муниципальном округе Курганской области на участке км 87+500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tc>
      </w:tr>
      <w:tr>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Лебяжье - Мокроусово - Щигры в Мокроусовском муниципальном округе Курганской области на участке км 71+566</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tc>
      </w:tr>
      <w:tr>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«Иртыш» - Песчанотаволжанское - «Шадринск - Миасское» в Шумихинском муниципальном округе Курганской области на участке км 3+330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tc>
      </w:tr>
      <w:tr>
        <w:trPr>
          <w:trHeight w:val="386" w:hRule="atLeast"/>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before="0" w:after="0"/>
              <w:ind w:hanging="0" w:start="0" w:end="0"/>
              <w:contextualSpacing/>
              <w:jc w:val="start"/>
              <w:rPr>
                <w:rFonts w:ascii="Times New Roman" w:hAnsi="Times New Roman" w:cs="Times New Roman"/>
                <w:sz w:val="24"/>
                <w:szCs w:val="24"/>
              </w:rPr>
            </w:pPr>
            <w:r>
              <w:rPr>
                <w:rFonts w:cs="Times New Roman" w:ascii="Times New Roman" w:hAnsi="Times New Roman"/>
                <w:sz w:val="24"/>
                <w:szCs w:val="24"/>
              </w:rPr>
              <w:t>«Екатеринбург – Шадринск – Курган» - Падерино – граница Свердловской области в Далматовском муниципальном округе Курганской области на участке км 0+850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r>
          </w:p>
        </w:tc>
      </w:tr>
      <w:tr>
        <w:trPr>
          <w:trHeight w:val="304" w:hRule="atLeast"/>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before="0" w:after="0"/>
              <w:ind w:hanging="0" w:start="0" w:end="0"/>
              <w:contextualSpacing/>
              <w:jc w:val="start"/>
              <w:rPr>
                <w:rFonts w:ascii="Times New Roman" w:hAnsi="Times New Roman" w:cs="Times New Roman"/>
                <w:sz w:val="24"/>
                <w:szCs w:val="24"/>
              </w:rPr>
            </w:pPr>
            <w:r>
              <w:rPr>
                <w:rFonts w:cs="Times New Roman" w:ascii="Times New Roman" w:hAnsi="Times New Roman"/>
                <w:sz w:val="24"/>
                <w:szCs w:val="24"/>
              </w:rPr>
              <w:t>Курган – Половинное – Воскресенское – граница Казахстана в Половинском муниципальном округе Курганской области на участке км 91+500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r>
          </w:p>
        </w:tc>
      </w:tr>
      <w:tr>
        <w:trPr>
          <w:trHeight w:val="304" w:hRule="atLeast"/>
        </w:trPr>
        <w:tc>
          <w:tcPr>
            <w:tcW w:w="490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before="0" w:after="0"/>
              <w:ind w:hanging="0" w:start="0" w:end="0"/>
              <w:contextualSpacing/>
              <w:jc w:val="start"/>
              <w:rPr>
                <w:rFonts w:ascii="Times New Roman" w:hAnsi="Times New Roman" w:cs="Times New Roman"/>
                <w:sz w:val="24"/>
                <w:szCs w:val="24"/>
              </w:rPr>
            </w:pPr>
            <w:r>
              <w:rPr>
                <w:rFonts w:cs="Times New Roman" w:ascii="Times New Roman" w:hAnsi="Times New Roman"/>
                <w:sz w:val="24"/>
                <w:szCs w:val="24"/>
              </w:rPr>
              <w:t>Целинное – Кислянка – Патранино – граница Челябинской области в Целинном муниципальном округе Курганской области на участке км 30+950</w:t>
            </w:r>
          </w:p>
        </w:tc>
        <w:tc>
          <w:tcPr>
            <w:tcW w:w="1419"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039" w:type="dxa"/>
            <w:tcBorders>
              <w:top w:val="single" w:sz="4" w:space="0" w:color="000000"/>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r>
          </w:p>
        </w:tc>
      </w:tr>
      <w:tr>
        <w:trPr>
          <w:trHeight w:val="304" w:hRule="atLeast"/>
        </w:trPr>
        <w:tc>
          <w:tcPr>
            <w:tcW w:w="4909" w:type="dxa"/>
            <w:tcBorders>
              <w:start w:val="single" w:sz="4" w:space="0" w:color="000000"/>
              <w:bottom w:val="single" w:sz="4" w:space="0" w:color="000000"/>
              <w:end w:val="single" w:sz="4" w:space="0" w:color="000000"/>
            </w:tcBorders>
            <w:vAlign w:val="center"/>
          </w:tcPr>
          <w:p>
            <w:pPr>
              <w:pStyle w:val="Normal"/>
              <w:widowControl w:val="false"/>
              <w:spacing w:before="0" w:after="0"/>
              <w:contextualSpacing/>
              <w:rPr>
                <w:rFonts w:ascii="Times New Roman" w:hAnsi="Times New Roman" w:cs="Arial"/>
                <w:sz w:val="24"/>
                <w:szCs w:val="24"/>
              </w:rPr>
            </w:pPr>
            <w:r>
              <w:rPr>
                <w:rFonts w:cs="Arial" w:ascii="Times New Roman" w:hAnsi="Times New Roman"/>
                <w:sz w:val="24"/>
                <w:szCs w:val="24"/>
              </w:rPr>
              <w:t>Сафакулево – Сарт–Абдрашево – Преображенка в Сафакулевском муниципальном округе Курганской области на участке км 15+138</w:t>
            </w:r>
          </w:p>
        </w:tc>
        <w:tc>
          <w:tcPr>
            <w:tcW w:w="141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039" w:type="dxa"/>
            <w:tcBorders>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r>
          </w:p>
        </w:tc>
      </w:tr>
      <w:tr>
        <w:trPr>
          <w:trHeight w:val="304" w:hRule="atLeast"/>
        </w:trPr>
        <w:tc>
          <w:tcPr>
            <w:tcW w:w="4909" w:type="dxa"/>
            <w:tcBorders>
              <w:start w:val="single" w:sz="4" w:space="0" w:color="000000"/>
              <w:bottom w:val="single" w:sz="4" w:space="0" w:color="000000"/>
              <w:end w:val="single" w:sz="4" w:space="0" w:color="000000"/>
            </w:tcBorders>
            <w:vAlign w:val="center"/>
          </w:tcPr>
          <w:p>
            <w:pPr>
              <w:pStyle w:val="Normal"/>
              <w:widowControl w:val="false"/>
              <w:spacing w:before="0" w:after="0"/>
              <w:contextualSpacing/>
              <w:rPr>
                <w:rFonts w:ascii="Times New Roman" w:hAnsi="Times New Roman"/>
                <w:sz w:val="24"/>
                <w:szCs w:val="24"/>
              </w:rPr>
            </w:pPr>
            <w:r>
              <w:rPr>
                <w:rFonts w:cs="Arial" w:ascii="Times New Roman" w:hAnsi="Times New Roman"/>
                <w:sz w:val="24"/>
                <w:szCs w:val="24"/>
              </w:rPr>
              <w:t>«Подъезд к г. Тюмень» - Першино - Ягодная - Бралгина в Белозерском муниципальном округе Курганской области на участке км 2+729</w:t>
            </w:r>
          </w:p>
        </w:tc>
        <w:tc>
          <w:tcPr>
            <w:tcW w:w="1419"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start"/>
              <w:rPr>
                <w:rFonts w:ascii="Times New Roman" w:hAnsi="Times New Roman" w:cs="Times New Roman"/>
                <w:sz w:val="24"/>
                <w:szCs w:val="24"/>
              </w:rPr>
            </w:pPr>
            <w:r>
              <w:rPr>
                <w:rFonts w:cs="Times New Roman" w:ascii="Times New Roman" w:hAnsi="Times New Roman"/>
                <w:sz w:val="24"/>
                <w:szCs w:val="24"/>
              </w:rPr>
              <w:t>Волоконно –оптическая линия связи</w:t>
            </w:r>
          </w:p>
        </w:tc>
        <w:tc>
          <w:tcPr>
            <w:tcW w:w="1274" w:type="dxa"/>
            <w:tcBorders>
              <w:start w:val="single" w:sz="4" w:space="0" w:color="000000"/>
              <w:bottom w:val="single" w:sz="4" w:space="0" w:color="000000"/>
              <w:end w:val="single" w:sz="4" w:space="0" w:color="000000"/>
            </w:tcBorders>
            <w:vAlign w:val="center"/>
          </w:tcPr>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t>50 Мбит</w:t>
            </w:r>
          </w:p>
          <w:p>
            <w:pPr>
              <w:pStyle w:val="Normal"/>
              <w:widowControl w:val="false"/>
              <w:tabs>
                <w:tab w:val="clear" w:pos="720"/>
                <w:tab w:val="left" w:pos="0" w:leader="none"/>
              </w:tabs>
              <w:spacing w:lineRule="auto" w:line="24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039" w:type="dxa"/>
            <w:tcBorders>
              <w:start w:val="single" w:sz="4" w:space="0" w:color="000000"/>
              <w:bottom w:val="single" w:sz="4" w:space="0" w:color="000000"/>
              <w:end w:val="single" w:sz="4" w:space="0" w:color="000000"/>
            </w:tcBorders>
            <w:tcMar>
              <w:end w:w="28" w:type="dxa"/>
            </w:tcMar>
            <w:vAlign w:val="center"/>
          </w:tcPr>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t>г. Курган,             ул. Володарского, д. 103, оф. 1</w:t>
            </w:r>
          </w:p>
          <w:p>
            <w:pPr>
              <w:pStyle w:val="Normal"/>
              <w:widowControl w:val="false"/>
              <w:tabs>
                <w:tab w:val="clear" w:pos="720"/>
                <w:tab w:val="left" w:pos="0" w:leader="none"/>
              </w:tabs>
              <w:spacing w:lineRule="auto" w:line="240"/>
              <w:ind w:hanging="0" w:start="0" w:end="0"/>
              <w:jc w:val="start"/>
              <w:rPr>
                <w:rFonts w:ascii="Times New Roman" w:hAnsi="Times New Roman" w:eastAsia="Arial Unicode MS" w:cs="Times New Roman"/>
                <w:color w:val="auto"/>
                <w:sz w:val="24"/>
                <w:szCs w:val="24"/>
              </w:rPr>
            </w:pPr>
            <w:r>
              <w:rPr>
                <w:rFonts w:eastAsia="Arial Unicode MS" w:cs="Times New Roman" w:ascii="Times New Roman" w:hAnsi="Times New Roman"/>
                <w:color w:val="auto"/>
                <w:sz w:val="24"/>
                <w:szCs w:val="24"/>
              </w:rPr>
            </w:r>
          </w:p>
        </w:tc>
      </w:tr>
    </w:tbl>
    <w:p>
      <w:pPr>
        <w:pStyle w:val="Normal"/>
        <w:spacing w:lineRule="auto" w:line="240"/>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240" w:before="0" w:after="0"/>
        <w:ind w:firstLine="624" w:start="0" w:end="0"/>
        <w:jc w:val="both"/>
        <w:rPr>
          <w:rFonts w:ascii="Times New Roman" w:hAnsi="Times New Roman"/>
          <w:sz w:val="24"/>
          <w:szCs w:val="24"/>
        </w:rPr>
      </w:pPr>
      <w:r>
        <w:rPr>
          <w:rFonts w:cs="Times New Roman" w:ascii="Times New Roman" w:hAnsi="Times New Roman"/>
          <w:sz w:val="24"/>
          <w:szCs w:val="24"/>
        </w:rPr>
        <w:t>3.1.21. Предоставить в пользование Заказчику на срок действия Договора рабочее место (АРМ) со специализированным программным обеспечением (СПО) обработки материалов с признаками нарушений в области весового и габаритного контроля, зафиксированных имеющимися у Государственного Заказчика автоматическими постами весового и габаритного контроля (АПВГК). Требования к функциональным возможностям ИС (СПО) указаны в приложении 6 технического задания.</w:t>
      </w:r>
    </w:p>
    <w:p>
      <w:pPr>
        <w:pStyle w:val="Normal"/>
        <w:ind w:firstLine="708" w:start="0" w:end="0"/>
        <w:rPr>
          <w:rFonts w:ascii="Times New Roman" w:hAnsi="Times New Roman" w:cs="Arial"/>
          <w:sz w:val="24"/>
          <w:szCs w:val="24"/>
          <w:lang w:eastAsia="en-US"/>
        </w:rPr>
      </w:pPr>
      <w:r>
        <w:rPr>
          <w:rFonts w:cs="Arial" w:ascii="Times New Roman" w:hAnsi="Times New Roman"/>
          <w:sz w:val="24"/>
          <w:szCs w:val="24"/>
          <w:lang w:eastAsia="en-US"/>
        </w:rPr>
        <w:t>3.1.21.1. Для обеспечения стабильного функционирования ИС (СПО) и передачи данных, без потерь объема и качества передаваемых сведений исполнитель обеспечивает следующие параметры каналов связи:</w:t>
      </w:r>
    </w:p>
    <w:p>
      <w:pPr>
        <w:pStyle w:val="Normal"/>
        <w:ind w:firstLine="708" w:start="0" w:end="0"/>
        <w:rPr>
          <w:rFonts w:ascii="Times New Roman" w:hAnsi="Times New Roman" w:cs="Arial"/>
          <w:sz w:val="24"/>
          <w:szCs w:val="24"/>
          <w:lang w:eastAsia="en-US"/>
        </w:rPr>
      </w:pPr>
      <w:r>
        <w:rPr>
          <w:rFonts w:cs="Arial" w:ascii="Times New Roman" w:hAnsi="Times New Roman"/>
          <w:sz w:val="24"/>
          <w:szCs w:val="24"/>
          <w:lang w:eastAsia="en-US"/>
        </w:rPr>
        <w:t>- от сервера с развернутой ИС (СПО) до АПВГК - не менее 10 Мбит/сек;</w:t>
      </w:r>
    </w:p>
    <w:p>
      <w:pPr>
        <w:pStyle w:val="Normal"/>
        <w:ind w:firstLine="708" w:start="0" w:end="0"/>
        <w:rPr>
          <w:rFonts w:ascii="Times New Roman" w:hAnsi="Times New Roman" w:cs="Arial"/>
          <w:sz w:val="24"/>
          <w:szCs w:val="24"/>
          <w:lang w:eastAsia="en-US"/>
        </w:rPr>
      </w:pPr>
      <w:r>
        <w:rPr>
          <w:rFonts w:cs="Arial" w:ascii="Times New Roman" w:hAnsi="Times New Roman"/>
          <w:sz w:val="24"/>
          <w:szCs w:val="24"/>
          <w:lang w:eastAsia="en-US"/>
        </w:rPr>
        <w:t>- от АРМ до сервера с развернутой ИС (СПО) - не менее 10 Мбит/сек;</w:t>
      </w:r>
    </w:p>
    <w:p>
      <w:pPr>
        <w:pStyle w:val="Normal"/>
        <w:ind w:firstLine="708" w:start="0" w:end="0"/>
        <w:rPr>
          <w:rFonts w:ascii="Times New Roman" w:hAnsi="Times New Roman" w:cs="Arial"/>
          <w:sz w:val="24"/>
          <w:szCs w:val="24"/>
          <w:lang w:eastAsia="en-US"/>
        </w:rPr>
      </w:pPr>
      <w:r>
        <w:rPr>
          <w:rFonts w:cs="Arial" w:ascii="Times New Roman" w:hAnsi="Times New Roman"/>
          <w:sz w:val="24"/>
          <w:szCs w:val="24"/>
          <w:lang w:eastAsia="en-US"/>
        </w:rPr>
        <w:t>- от сервера с развернутой ИС (СПО) до СМЭВ - не менее 10 Мбит/сек.</w:t>
      </w:r>
    </w:p>
    <w:p>
      <w:pPr>
        <w:pStyle w:val="Normal"/>
        <w:spacing w:lineRule="auto" w:line="240"/>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1"/>
          <w:numId w:val="3"/>
        </w:numPr>
        <w:spacing w:lineRule="auto" w:line="240"/>
        <w:ind w:firstLine="567" w:start="0" w:end="0"/>
        <w:rPr>
          <w:rFonts w:ascii="Times New Roman" w:hAnsi="Times New Roman" w:cs="Times New Roman"/>
          <w:b/>
          <w:sz w:val="24"/>
          <w:szCs w:val="24"/>
        </w:rPr>
      </w:pPr>
      <w:r>
        <w:rPr>
          <w:rFonts w:cs="Times New Roman" w:ascii="Times New Roman" w:hAnsi="Times New Roman"/>
          <w:b/>
          <w:sz w:val="24"/>
          <w:szCs w:val="24"/>
        </w:rPr>
        <w:t xml:space="preserve">Объёмы и периодичность оказания услуг по предоставление услуг по содержанию и обеспечению функционирования автоматических пунктов весового и габаритного контроля транспортных средств: </w:t>
      </w:r>
    </w:p>
    <w:p>
      <w:pPr>
        <w:pStyle w:val="Normal"/>
        <w:widowControl w:val="false"/>
        <w:spacing w:lineRule="auto" w:line="240"/>
        <w:rPr>
          <w:rFonts w:ascii="Times New Roman" w:hAnsi="Times New Roman" w:cs="Times New Roman"/>
          <w:b/>
          <w:sz w:val="24"/>
          <w:szCs w:val="24"/>
        </w:rPr>
      </w:pPr>
      <w:r>
        <w:rPr>
          <w:rFonts w:cs="Times New Roman" w:ascii="Times New Roman" w:hAnsi="Times New Roman"/>
          <w:b/>
          <w:sz w:val="24"/>
          <w:szCs w:val="24"/>
        </w:rPr>
      </w:r>
    </w:p>
    <w:tbl>
      <w:tblPr>
        <w:tblW w:w="10031" w:type="dxa"/>
        <w:jc w:val="start"/>
        <w:tblInd w:w="-113" w:type="dxa"/>
        <w:tblLayout w:type="fixed"/>
        <w:tblCellMar>
          <w:top w:w="0" w:type="dxa"/>
          <w:start w:w="108" w:type="dxa"/>
          <w:bottom w:w="0" w:type="dxa"/>
          <w:end w:w="108" w:type="dxa"/>
        </w:tblCellMar>
      </w:tblPr>
      <w:tblGrid>
        <w:gridCol w:w="1017"/>
        <w:gridCol w:w="7083"/>
        <w:gridCol w:w="1931"/>
      </w:tblGrid>
      <w:tr>
        <w:trPr>
          <w:tblHeader w:val="true"/>
          <w:trHeight w:val="397" w:hRule="atLeast"/>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п/п</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Работы, выполняемые в рамках оказания услуг</w:t>
              <w:br/>
              <w:t>по содержанию АПВГК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end"/>
              <w:rPr>
                <w:rFonts w:ascii="Times New Roman" w:hAnsi="Times New Roman"/>
                <w:b/>
                <w:sz w:val="24"/>
                <w:szCs w:val="24"/>
              </w:rPr>
            </w:pPr>
            <w:r>
              <w:rPr>
                <w:rFonts w:ascii="Times New Roman" w:hAnsi="Times New Roman"/>
                <w:b/>
                <w:sz w:val="24"/>
                <w:szCs w:val="24"/>
              </w:rPr>
              <w:t>Периодичность</w:t>
            </w:r>
          </w:p>
        </w:tc>
      </w:tr>
      <w:tr>
        <w:trPr/>
        <w:tc>
          <w:tcPr>
            <w:tcW w:w="10031" w:type="dxa"/>
            <w:gridSpan w:val="3"/>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Проведение профилактического обслуживания на объекте</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Шкаф всепогодный (антивандальный)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шкафов на наличие дефектов (трещин, повреждений, коррозии)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дверных петель, резиновых уплотнений и запирающих устройств, и концевых датчиков контроля открытия дверей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внутренней части шкафов (при необходимости)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очистка, наладка, смазка подвижных узлов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зажимов, зажимных планок и клеммных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состояния оборудования по индикаторам состояния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Контроллер управления комплексом весового и габаритного контроля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Внешний осмотр на наличие повреждений, очистка от загрязнений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целостности кабельных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Замер входного напряжения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работы светодиодной индикации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разъемных соединений с внешними устройствами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температурного режима, контроль работы системы охлаждения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2.7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электрических соединений, проверка состояния изоляции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Детекторы измерения осевых нагрузок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3.1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на предмет повреждений, очистка от загрязнений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3.2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участка дороги на предмет колейности по 10 метров в каждую сторону от мест установки датчиков, шлифовка датчиков в случае выступания датчика над дорожным полотном</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3.3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кабельных соединений на предмет повреждения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3.4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характеристик входного напряжения и элементов заземления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Детекторы определения скатности колес на осях</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4.1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на предмет повреждений, очистка от загрязнений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4.2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кабельных соединений на предмет повреждения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4.3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характеристик входного напряжения и элементов заземления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Индуктивные детекторы (петля)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5.1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осмотр целостности шва укладки петли и дорожного полотна на отсутствие трещин и выбоин.</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5.2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электрической целостности индуктивного элемента петли (омметром).</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5.3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изоляции кабеля подключения на отсутствие повреждений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Лазерные детекторы измерения габаритных параметров (сканер)</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6.1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Внешний осмотр, проверка надежности креплений, очистка внешних поверхностей, очистка линзы и корпуса от пыли и грязи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6.2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 наличие механических повреждений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6.3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целостности кабельного соединения, в том числе между лазерными детектором и коммутационным блоком</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6.4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работоспособности светодиодной индикации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Камеры распознавания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Внешний осмотр камеры, очистка корпуса, объектива, контроль по нагреву</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надежности крепления, кронштейнов, клемных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Корректировка сектора обзора видеокамеры по изображению</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устройств, визуальный контроль соединительных разъемов и кабелей и распаячных коробок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герметичности и режима термостабилизации термокожуха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изображения на наличие артефактов и аберрации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надежности крепления, клеммных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контактных соединений кабелей видеотракта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Обзорные камеры для получения изображения ТС</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Внешний осмотр камеры, очистка корпуса, объектива, контроль по нагреву</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надежности крепления, кронштейнов, клемных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Корректировка сектора обзора видеокамеры по изображению</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устройств, визуальный контроль соединительных разъемов и кабелей и распаячных коробок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герметичности и режима термостабилизации термокожуха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изображения на наличие артефактов и аберрации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надежности крепления, клеммных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контактных соединений кабелей видеотракта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9</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Опоры стальные П-образные и Г-образные оцинкованные в комплекте с фундаментом и кабельной канализацией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осмотр металлоконструкций на предмет повреждений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металлоконструкций на наличие коррозии и ржавчины, устранение при необходимости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металлоконструкций на предмет отклонения от исходных значений, деформации металлических элементов опор</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Контроль состояния и восстановление защитного слоя железобетонного фундамента опоры полимерцементным раствором</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качества заземления металлической конструкции, измерение сопротивления растекания тока заземлителя, измерение полного сопротивление цепи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0</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Профилактические работы по предотвращению разрушения покрытия в местах установки датчиков, заделка трещин и дефектов в дорожном покрытии в зоне установки датчиков (участок покрытия на всю ширину проезжей части по 10 метров в каждую сторону от мест установки датчиков)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0</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осмотр состояния дорожного покрытия на предмет имеющихся разрушений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еженедельно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0</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Восстановление целостности дорожного покрытия в местах установки датчиков (при появлении дефектов)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0</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Выравнивание профиля датчиков под образовавшуюся колейность (при появлении дефектов)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0</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Восстановление целостности компаунда силоприемных модулей (при появлении дефектов)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0</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Оповещение Заказчика и эксплуатирующей организации о дефектах дорожного покрытия в зоне весогабаритного контроля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Опоры освещения и светодиодные светильники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системы крепления светильника к стойке опоры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подводящей кабельной линии к опоре освещения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целостности кабельных и клеммных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кабеля питания светильника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корпуса и линзы светильника от пыли и грязи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Окраска внешних поверхностей оборудования и элементов крепления (при появлении дефектов)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по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Мониторинг работоспособности комплекса, включая инженерные системы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highlight w:val="none"/>
                <w:shd w:fill="auto" w:val="clear"/>
              </w:rPr>
            </w:pPr>
            <w:r>
              <w:rPr>
                <w:rFonts w:ascii="Times New Roman" w:hAnsi="Times New Roman"/>
                <w:sz w:val="24"/>
                <w:szCs w:val="24"/>
                <w:shd w:fill="auto" w:val="clear"/>
              </w:rPr>
              <w:t>1</w:t>
            </w:r>
            <w:r>
              <w:rPr>
                <w:rFonts w:ascii="Times New Roman" w:hAnsi="Times New Roman"/>
                <w:sz w:val="24"/>
                <w:szCs w:val="24"/>
                <w:shd w:fill="auto" w:val="clear"/>
              </w:rPr>
              <w:t>2</w:t>
            </w:r>
            <w:r>
              <w:rPr>
                <w:rFonts w:ascii="Times New Roman" w:hAnsi="Times New Roman"/>
                <w:sz w:val="24"/>
                <w:szCs w:val="24"/>
                <w:shd w:fill="auto" w:val="clear"/>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highlight w:val="none"/>
                <w:shd w:fill="auto" w:val="clear"/>
              </w:rPr>
            </w:pPr>
            <w:r>
              <w:rPr>
                <w:rFonts w:ascii="Times New Roman" w:hAnsi="Times New Roman"/>
                <w:sz w:val="24"/>
                <w:szCs w:val="24"/>
                <w:shd w:fill="auto" w:val="clear"/>
              </w:rPr>
              <w:t>Мониторинг работоспособности комплекса, включая инженерные системы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highlight w:val="none"/>
                <w:shd w:fill="auto" w:val="clear"/>
              </w:rPr>
            </w:pPr>
            <w:r>
              <w:rPr>
                <w:rFonts w:ascii="Times New Roman" w:hAnsi="Times New Roman"/>
                <w:sz w:val="24"/>
                <w:szCs w:val="24"/>
                <w:shd w:fill="auto" w:val="clear"/>
              </w:rPr>
              <w:t>1</w:t>
            </w:r>
            <w:r>
              <w:rPr>
                <w:rFonts w:ascii="Times New Roman" w:hAnsi="Times New Roman"/>
                <w:sz w:val="24"/>
                <w:szCs w:val="24"/>
                <w:shd w:fill="auto" w:val="clear"/>
              </w:rPr>
              <w:t>2</w:t>
            </w:r>
            <w:r>
              <w:rPr>
                <w:rFonts w:ascii="Times New Roman" w:hAnsi="Times New Roman"/>
                <w:sz w:val="24"/>
                <w:szCs w:val="24"/>
                <w:shd w:fill="auto" w:val="clear"/>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highlight w:val="none"/>
                <w:shd w:fill="auto" w:val="clear"/>
              </w:rPr>
            </w:pPr>
            <w:r>
              <w:rPr>
                <w:rFonts w:ascii="Times New Roman" w:hAnsi="Times New Roman"/>
                <w:sz w:val="24"/>
                <w:szCs w:val="24"/>
                <w:shd w:fill="auto" w:val="clear"/>
              </w:rPr>
              <w:t>М</w:t>
            </w:r>
            <w:bookmarkStart w:id="21" w:name="_GoBack"/>
            <w:bookmarkEnd w:id="21"/>
            <w:r>
              <w:rPr>
                <w:rFonts w:ascii="Times New Roman" w:hAnsi="Times New Roman"/>
                <w:sz w:val="24"/>
                <w:szCs w:val="24"/>
                <w:shd w:fill="auto" w:val="clear"/>
              </w:rPr>
              <w:t>ониторинг работоспособности системы освещения дороги в тёмное время суток, для определения неработающих светильников и принятию мер по их включению</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Табло переменной информации (ТПИ)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на предмет повреждений, очистка от загрязнений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соединительных разъемов, кабелей, распаячных коробок, вентиляционных отверстий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характеристик входного напряжения и элементов заземления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надежности крепления, кронштейнов, клеммных соединений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контроль работоспособности светодиодной индикации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и настройка оборудования связи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удаленного вывода информации (текст, графика) на табло переменной информации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Диагностика экрана на предмет неработающих элементов информационного поля (проверка функционирования светодиодных ячеек)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.9</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Регулировка яркости светоизлучающих знаков по отношению к внешней освещенности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10</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целостности специализированного программного обеспечения ТПИ, устранение ошибок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Диагностика и мониторинг работы заданий обработки данных специализированного программного обеспечения ТПИ, устранение ошибок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и проверка электроснабжения шкафа электропитания ТПИ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состояния вводного автомата электропитания ТПИ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Электролабораторные измерения шкафа электропитания ТПИ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ежегодно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3</w:t>
            </w:r>
            <w:r>
              <w:rPr>
                <w:rFonts w:ascii="Times New Roman" w:hAnsi="Times New Roman"/>
                <w:sz w:val="24"/>
                <w:szCs w:val="24"/>
              </w:rPr>
              <w:t>.15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состояния кабельной линии электроснабжения от шкафа АПВГК до шкафа ТПИ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Приборы электроавтоматики и электрозащиты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4</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работы реле защиты от перенапряжения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4</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работы реле защиты от короткого замыкания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4</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Перед наступлением холодного времени года (с октября по апрель): проверка работы теплового реле</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два раза в месяц</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4</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Перед наступлением холодного времени года (с октября по апрель): проверка работы электронагревателей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два раза в месяц</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4</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 летний сезон (с мая по сентябрь): проверка работы системы вентиляции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два раз в месяц</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b/>
                <w:sz w:val="24"/>
                <w:szCs w:val="24"/>
              </w:rPr>
              <w:t>1</w:t>
            </w:r>
            <w:r>
              <w:rPr>
                <w:rFonts w:ascii="Times New Roman" w:hAnsi="Times New Roman"/>
                <w:b/>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Поверка и калибровка СВК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b/>
                <w:sz w:val="24"/>
                <w:szCs w:val="24"/>
              </w:rPr>
            </w:pPr>
            <w:r>
              <w:rPr>
                <w:rFonts w:ascii="Times New Roman" w:hAnsi="Times New Roman"/>
                <w:b/>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5</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Плановая поверка метрологических параметров СВК с оформлением акта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ежегодно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5</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метрологических характеристик оборудования СВК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1 раз в 2 месяца</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b/>
                <w:bCs/>
                <w:sz w:val="24"/>
                <w:szCs w:val="24"/>
              </w:rPr>
              <w:t>1</w:t>
            </w:r>
            <w:r>
              <w:rPr>
                <w:rFonts w:ascii="Times New Roman" w:hAnsi="Times New Roman"/>
                <w:b/>
                <w:bCs/>
                <w:sz w:val="24"/>
                <w:szCs w:val="24"/>
                <w:lang w:val="en-US"/>
              </w:rPr>
              <w:t>6</w:t>
            </w:r>
          </w:p>
        </w:tc>
        <w:tc>
          <w:tcPr>
            <w:tcW w:w="7083" w:type="dxa"/>
            <w:tcBorders>
              <w:top w:val="single" w:sz="4" w:space="0" w:color="000000"/>
              <w:start w:val="single" w:sz="4" w:space="0" w:color="000000"/>
              <w:bottom w:val="single" w:sz="4" w:space="0" w:color="000000"/>
              <w:end w:val="single" w:sz="4" w:space="0" w:color="000000"/>
            </w:tcBorders>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Внешнее электроснабжение</w:t>
            </w:r>
          </w:p>
        </w:tc>
        <w:tc>
          <w:tcPr>
            <w:tcW w:w="1931" w:type="dxa"/>
            <w:tcBorders>
              <w:top w:val="single" w:sz="4" w:space="0" w:color="000000"/>
              <w:start w:val="single" w:sz="4" w:space="0" w:color="000000"/>
              <w:bottom w:val="single" w:sz="4" w:space="0" w:color="000000"/>
              <w:end w:val="single" w:sz="4" w:space="0" w:color="000000"/>
            </w:tcBorders>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Проверка состояния кабельной линии, кабеля электропитания от точки присоединения энергоснабжающей компании до шкафа АПВГК</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Осмотр и проверка прибора учета шкафа электропитания точки присоединения энергоснабжающей компании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Электролабораторные измерения шкафа электропитания точки присоединения энергоснабжающей компании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ежегодно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bCs/>
                <w:sz w:val="24"/>
                <w:szCs w:val="24"/>
                <w:lang w:val="en-US"/>
              </w:rPr>
            </w:pPr>
            <w:r>
              <w:rPr>
                <w:rFonts w:ascii="Times New Roman" w:hAnsi="Times New Roman"/>
                <w:b/>
                <w:bCs/>
                <w:sz w:val="24"/>
                <w:szCs w:val="24"/>
                <w:lang w:val="en-US"/>
              </w:rPr>
              <w:t>1</w:t>
            </w:r>
            <w:r>
              <w:rPr>
                <w:rFonts w:ascii="Times New Roman" w:hAnsi="Times New Roman"/>
                <w:b/>
                <w:bCs/>
                <w:sz w:val="24"/>
                <w:szCs w:val="24"/>
                <w:lang w:val="en-US"/>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Дорожная одежда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lang w:val="en-US"/>
              </w:rPr>
              <w:t>7</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осмотр целостности дорожной одежды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lang w:val="en-US"/>
              </w:rPr>
              <w:t>7</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Визуальный осмотр дорожного полотна на предмет образования наледи на участке дислокации комплекса и очистка проезжей части от снега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34" w:end="0"/>
              <w:jc w:val="center"/>
              <w:rPr>
                <w:rFonts w:ascii="Times New Roman" w:hAnsi="Times New Roman"/>
                <w:sz w:val="24"/>
                <w:szCs w:val="24"/>
              </w:rPr>
            </w:pPr>
            <w:r>
              <w:rPr>
                <w:rFonts w:ascii="Times New Roman" w:hAnsi="Times New Roman"/>
                <w:sz w:val="24"/>
                <w:szCs w:val="24"/>
              </w:rPr>
              <w:t>ежедневно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7</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Замеры ровности (контроль колейности) дорожного полотна в месте дислокации комплекса (100 м до и после)</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ежемесячно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7</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Санация трещин дорожного покрытия в зоне установки АПВГК (100 м до и после)</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bCs/>
                <w:sz w:val="24"/>
                <w:szCs w:val="24"/>
              </w:rPr>
            </w:pPr>
            <w:r>
              <w:rPr>
                <w:rFonts w:ascii="Times New Roman" w:hAnsi="Times New Roman"/>
                <w:b/>
                <w:bCs/>
                <w:sz w:val="24"/>
                <w:szCs w:val="24"/>
              </w:rPr>
              <w:t>1</w:t>
            </w:r>
            <w:r>
              <w:rPr>
                <w:rFonts w:ascii="Times New Roman" w:hAnsi="Times New Roman"/>
                <w:b/>
                <w:bCs/>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Состав работ по летнему содержанию участка автомобильной дороги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8</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полосы отвода, обочин и откосов от мусора и посторонних предметов (100 м до и после)</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еженедельно</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8</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Скашивание травы на обочинах и откосах земляного полотна механизированным и ручным способом (100 м до и после)</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8</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Скашивание травы вручную на обочинах - у дорожных знаков и ограждений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8</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покрытия от пыли и грязи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8</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и мойка дорожных знаков, барьерного ограждения</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b/>
                <w:bCs/>
                <w:sz w:val="24"/>
                <w:szCs w:val="24"/>
              </w:rPr>
            </w:pPr>
            <w:r>
              <w:rPr>
                <w:rFonts w:ascii="Times New Roman" w:hAnsi="Times New Roman"/>
                <w:b/>
                <w:bCs/>
                <w:sz w:val="24"/>
                <w:szCs w:val="24"/>
              </w:rPr>
              <w:t>19</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b/>
                <w:sz w:val="24"/>
                <w:szCs w:val="24"/>
              </w:rPr>
            </w:pPr>
            <w:r>
              <w:rPr>
                <w:rFonts w:ascii="Times New Roman" w:hAnsi="Times New Roman"/>
                <w:b/>
                <w:sz w:val="24"/>
                <w:szCs w:val="24"/>
              </w:rPr>
              <w:t>Состав работ по зимнему содержанию участка дороги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jc w:val="center"/>
              <w:rPr>
                <w:rFonts w:ascii="Times New Roman" w:hAnsi="Times New Roman"/>
                <w:sz w:val="24"/>
                <w:szCs w:val="24"/>
              </w:rPr>
            </w:pPr>
            <w:r>
              <w:rPr>
                <w:rFonts w:ascii="Times New Roman" w:hAnsi="Times New Roman"/>
                <w:sz w:val="24"/>
                <w:szCs w:val="24"/>
              </w:rPr>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.1</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полосы отвода (не менее 5 м от откоса), обочин, откосов и разделительных полос от мусора и посторонних предметов (в осенний и весенний периоды)</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.2</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проезжей части от снега после снегопада</w:t>
            </w:r>
          </w:p>
        </w:tc>
        <w:tc>
          <w:tcPr>
            <w:tcW w:w="1931" w:type="dxa"/>
            <w:tcBorders>
              <w:top w:val="single" w:sz="4" w:space="0" w:color="000000"/>
              <w:start w:val="single" w:sz="4" w:space="0" w:color="000000"/>
              <w:bottom w:val="single" w:sz="4" w:space="0" w:color="000000"/>
              <w:end w:val="single" w:sz="4" w:space="0" w:color="000000"/>
            </w:tcBorders>
            <w:vAlign w:val="bottom"/>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.3</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Механизированная очистка покрытия автодороги (сметание щетками снежных отложений после прохода автогрейдера) щетками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rHeight w:val="811" w:hRule="atLeast"/>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.4</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Россыпь противогололедных материалов</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 для ликвидации зимней скользкости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.5</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от грязи, снега и наледи вручную в местах установки датчиков весогабаритного контроля и метеостанций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.6</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Закрытие отверстий труб перед зимой и открытие их весной</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при наличии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.7</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оголовков труб от снега экскаваторами с доработкой вручную</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 раз перед весенним паводком</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.8</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дорожных знаков от снега</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r>
        <w:trPr/>
        <w:tc>
          <w:tcPr>
            <w:tcW w:w="101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.9</w:t>
            </w:r>
          </w:p>
        </w:tc>
        <w:tc>
          <w:tcPr>
            <w:tcW w:w="7083"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rPr>
                <w:rFonts w:ascii="Times New Roman" w:hAnsi="Times New Roman"/>
                <w:sz w:val="24"/>
                <w:szCs w:val="24"/>
              </w:rPr>
            </w:pPr>
            <w:r>
              <w:rPr>
                <w:rFonts w:ascii="Times New Roman" w:hAnsi="Times New Roman"/>
                <w:sz w:val="24"/>
                <w:szCs w:val="24"/>
              </w:rPr>
              <w:t>Очистка барьерного ограждения от снега и грязи</w:t>
            </w:r>
          </w:p>
        </w:tc>
        <w:tc>
          <w:tcPr>
            <w:tcW w:w="1931"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true"/>
              <w:ind w:hanging="0" w:start="0" w:end="0"/>
              <w:jc w:val="center"/>
              <w:rPr>
                <w:rFonts w:ascii="Times New Roman" w:hAnsi="Times New Roman"/>
                <w:sz w:val="24"/>
                <w:szCs w:val="24"/>
              </w:rPr>
            </w:pPr>
            <w:r>
              <w:rPr>
                <w:rFonts w:ascii="Times New Roman" w:hAnsi="Times New Roman"/>
                <w:sz w:val="24"/>
                <w:szCs w:val="24"/>
              </w:rPr>
              <w:t>по мере необходимости</w:t>
            </w:r>
          </w:p>
        </w:tc>
      </w:tr>
    </w:tbl>
    <w:p>
      <w:pPr>
        <w:pStyle w:val="Normal"/>
        <w:jc w:val="start"/>
        <w:rPr>
          <w:rFonts w:ascii="Times New Roman" w:hAnsi="Times New Roman"/>
          <w:sz w:val="24"/>
          <w:szCs w:val="24"/>
        </w:rPr>
      </w:pPr>
      <w:r>
        <w:rPr>
          <w:rFonts w:ascii="Times New Roman" w:hAnsi="Times New Roman"/>
          <w:sz w:val="24"/>
          <w:szCs w:val="24"/>
        </w:rPr>
      </w:r>
    </w:p>
    <w:p>
      <w:pPr>
        <w:pStyle w:val="Normal"/>
        <w:jc w:val="start"/>
        <w:rPr>
          <w:rFonts w:ascii="Times New Roman" w:hAnsi="Times New Roman"/>
          <w:sz w:val="24"/>
          <w:szCs w:val="24"/>
        </w:rPr>
      </w:pPr>
      <w:r>
        <w:rPr>
          <w:rFonts w:ascii="Times New Roman" w:hAnsi="Times New Roman"/>
          <w:b/>
          <w:sz w:val="24"/>
          <w:szCs w:val="24"/>
        </w:rPr>
        <w:t>3.3.</w:t>
      </w:r>
      <w:r>
        <w:rPr>
          <w:rFonts w:ascii="Times New Roman" w:hAnsi="Times New Roman"/>
          <w:sz w:val="24"/>
          <w:szCs w:val="24"/>
        </w:rPr>
        <w:t xml:space="preserve"> </w:t>
      </w:r>
      <w:r>
        <w:rPr>
          <w:rFonts w:ascii="Times New Roman" w:hAnsi="Times New Roman"/>
          <w:b/>
          <w:bCs/>
          <w:sz w:val="24"/>
          <w:szCs w:val="24"/>
        </w:rPr>
        <w:t>Т</w:t>
      </w:r>
      <w:r>
        <w:rPr>
          <w:rFonts w:ascii="Times New Roman" w:hAnsi="Times New Roman"/>
          <w:b/>
          <w:sz w:val="24"/>
          <w:szCs w:val="24"/>
        </w:rPr>
        <w:t>ребования к техническому обслуживанию информационной системы</w:t>
      </w:r>
    </w:p>
    <w:p>
      <w:pPr>
        <w:pStyle w:val="Normal"/>
        <w:jc w:val="start"/>
        <w:rPr>
          <w:rFonts w:ascii="Times New Roman" w:hAnsi="Times New Roman"/>
          <w:sz w:val="24"/>
          <w:szCs w:val="24"/>
        </w:rPr>
      </w:pPr>
      <w:r>
        <w:rPr>
          <w:rFonts w:ascii="Times New Roman" w:hAnsi="Times New Roman"/>
          <w:sz w:val="24"/>
          <w:szCs w:val="24"/>
        </w:rPr>
        <w:t xml:space="preserve">Исполнитель берет на себя обязательства по поддержанию работоспособности информационной системы в течение действия Договора с момента подписания Заказчиком и Исполнителем акта приема-передачи. </w:t>
      </w:r>
    </w:p>
    <w:p>
      <w:pPr>
        <w:pStyle w:val="Normal"/>
        <w:jc w:val="start"/>
        <w:rPr>
          <w:rFonts w:ascii="Times New Roman" w:hAnsi="Times New Roman"/>
          <w:sz w:val="24"/>
          <w:szCs w:val="24"/>
        </w:rPr>
      </w:pPr>
      <w:r>
        <w:rPr>
          <w:rFonts w:ascii="Times New Roman" w:hAnsi="Times New Roman"/>
          <w:sz w:val="24"/>
          <w:szCs w:val="24"/>
        </w:rPr>
      </w:r>
    </w:p>
    <w:p>
      <w:pPr>
        <w:pStyle w:val="Normal"/>
        <w:jc w:val="start"/>
        <w:rPr>
          <w:rFonts w:ascii="Times New Roman" w:hAnsi="Times New Roman"/>
          <w:b/>
          <w:sz w:val="24"/>
          <w:szCs w:val="24"/>
        </w:rPr>
      </w:pPr>
      <w:r>
        <w:rPr>
          <w:rFonts w:ascii="Times New Roman" w:hAnsi="Times New Roman"/>
          <w:b/>
          <w:sz w:val="24"/>
          <w:szCs w:val="24"/>
        </w:rPr>
      </w:r>
    </w:p>
    <w:p>
      <w:pPr>
        <w:pStyle w:val="Normal"/>
        <w:jc w:val="start"/>
        <w:rPr>
          <w:rFonts w:ascii="Times New Roman" w:hAnsi="Times New Roman"/>
          <w:sz w:val="24"/>
          <w:szCs w:val="24"/>
        </w:rPr>
      </w:pPr>
      <w:r>
        <w:rPr>
          <w:rFonts w:ascii="Times New Roman" w:hAnsi="Times New Roman"/>
          <w:b/>
          <w:sz w:val="24"/>
          <w:szCs w:val="24"/>
        </w:rPr>
        <w:t>3.3.1. Наименование и состав работ</w:t>
      </w:r>
      <w:bookmarkStart w:id="22" w:name="_Hlk115873770"/>
      <w:r>
        <w:rPr>
          <w:rFonts w:ascii="Times New Roman" w:hAnsi="Times New Roman"/>
          <w:b/>
          <w:sz w:val="24"/>
          <w:szCs w:val="24"/>
        </w:rPr>
        <w:t>:</w:t>
      </w:r>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Консультация пользователей;</w:t>
      </w:r>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Работы по установке и настройке обновлений;</w:t>
      </w:r>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Работы по профилактическому обслуживанию системы;</w:t>
      </w:r>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Оказание услуг по восстановлению работоспособности информационной системы</w:t>
      </w:r>
      <w:r>
        <w:rPr>
          <w:rFonts w:ascii="Times New Roman" w:hAnsi="Times New Roman"/>
          <w:bCs/>
          <w:sz w:val="24"/>
          <w:szCs w:val="24"/>
        </w:rPr>
        <w:t xml:space="preserve"> </w:t>
      </w:r>
      <w:r>
        <w:rPr>
          <w:rFonts w:ascii="Times New Roman" w:hAnsi="Times New Roman"/>
          <w:sz w:val="24"/>
          <w:szCs w:val="24"/>
        </w:rPr>
        <w:t>в случае аварийных сбоев и возникновении отклонений от заявленного функционала;</w:t>
      </w:r>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Интеграция новых комплексов АПВГК региона в информационную систему, при предоставлении описания протоколов обмена данными технического средства;</w:t>
      </w:r>
    </w:p>
    <w:p>
      <w:pPr>
        <w:pStyle w:val="Normal"/>
        <w:numPr>
          <w:ilvl w:val="0"/>
          <w:numId w:val="4"/>
        </w:numPr>
        <w:ind w:hanging="360" w:start="720" w:end="0"/>
        <w:jc w:val="start"/>
        <w:rPr>
          <w:rFonts w:ascii="Times New Roman" w:hAnsi="Times New Roman"/>
          <w:sz w:val="24"/>
          <w:szCs w:val="24"/>
        </w:rPr>
      </w:pPr>
      <w:bookmarkStart w:id="23" w:name="_Hlk115878503"/>
      <w:r>
        <w:rPr>
          <w:rFonts w:ascii="Times New Roman" w:hAnsi="Times New Roman"/>
          <w:sz w:val="24"/>
          <w:szCs w:val="24"/>
        </w:rPr>
        <w:t>Внесение изменений в алгоритм работы информационной системы (модернизация) на основании вступивших в действие изменений законодательства;</w:t>
      </w:r>
      <w:bookmarkEnd w:id="23"/>
    </w:p>
    <w:p>
      <w:pPr>
        <w:pStyle w:val="Normal"/>
        <w:numPr>
          <w:ilvl w:val="0"/>
          <w:numId w:val="4"/>
        </w:numPr>
        <w:ind w:hanging="360" w:start="720" w:end="0"/>
        <w:jc w:val="start"/>
        <w:rPr>
          <w:rFonts w:ascii="Times New Roman" w:hAnsi="Times New Roman"/>
          <w:sz w:val="24"/>
          <w:szCs w:val="24"/>
        </w:rPr>
      </w:pPr>
      <w:r>
        <w:rPr>
          <w:rFonts w:ascii="Times New Roman" w:hAnsi="Times New Roman"/>
          <w:sz w:val="24"/>
          <w:szCs w:val="24"/>
        </w:rPr>
        <w:t>Осуществление работ по сопровождению следующих модулей информационной системы:</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Модуль «Работа с нарушениями»;</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Модуль «Работа с АПВГК;</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Модуль «Администрирование»;</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Модуль «Статистика и отчёты»;</w:t>
      </w:r>
    </w:p>
    <w:p>
      <w:pPr>
        <w:pStyle w:val="Normal"/>
        <w:numPr>
          <w:ilvl w:val="0"/>
          <w:numId w:val="5"/>
        </w:numPr>
        <w:ind w:hanging="360" w:start="720" w:end="0"/>
        <w:jc w:val="start"/>
        <w:rPr>
          <w:rFonts w:ascii="Times New Roman" w:hAnsi="Times New Roman"/>
          <w:bCs/>
          <w:sz w:val="24"/>
          <w:szCs w:val="24"/>
        </w:rPr>
      </w:pPr>
      <w:r>
        <w:rPr>
          <w:rFonts w:ascii="Times New Roman" w:hAnsi="Times New Roman"/>
          <w:bCs/>
          <w:sz w:val="24"/>
          <w:szCs w:val="24"/>
        </w:rPr>
        <w:t>Модуль «Мониторинг качества измерений АПВГК»:</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Модуль Web-информирования собственников ТС;</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Подсистема взаимодействия;</w:t>
      </w:r>
    </w:p>
    <w:p>
      <w:pPr>
        <w:pStyle w:val="Normal"/>
        <w:numPr>
          <w:ilvl w:val="0"/>
          <w:numId w:val="5"/>
        </w:numPr>
        <w:ind w:hanging="360" w:start="720" w:end="0"/>
        <w:jc w:val="start"/>
        <w:rPr>
          <w:rFonts w:ascii="Times New Roman" w:hAnsi="Times New Roman"/>
          <w:sz w:val="24"/>
          <w:szCs w:val="24"/>
        </w:rPr>
      </w:pPr>
      <w:r>
        <w:rPr>
          <w:rFonts w:ascii="Times New Roman" w:hAnsi="Times New Roman"/>
          <w:sz w:val="24"/>
          <w:szCs w:val="24"/>
        </w:rPr>
        <w:t>Конструктор отчетов.</w:t>
      </w:r>
      <w:bookmarkEnd w:id="22"/>
    </w:p>
    <w:p>
      <w:pPr>
        <w:pStyle w:val="Normal"/>
        <w:jc w:val="start"/>
        <w:rPr>
          <w:rFonts w:ascii="Times New Roman" w:hAnsi="Times New Roman"/>
          <w:b/>
          <w:bCs/>
          <w:sz w:val="24"/>
          <w:szCs w:val="24"/>
        </w:rPr>
      </w:pPr>
      <w:r>
        <w:rPr>
          <w:rFonts w:ascii="Times New Roman" w:hAnsi="Times New Roman"/>
          <w:b/>
          <w:bCs/>
          <w:sz w:val="24"/>
          <w:szCs w:val="24"/>
        </w:rPr>
        <w:t>3.3.2. Общие требования к работам:</w:t>
      </w:r>
    </w:p>
    <w:p>
      <w:pPr>
        <w:pStyle w:val="Normal"/>
        <w:jc w:val="start"/>
        <w:rPr>
          <w:rFonts w:ascii="Times New Roman" w:hAnsi="Times New Roman"/>
          <w:bCs/>
          <w:sz w:val="24"/>
          <w:szCs w:val="24"/>
        </w:rPr>
      </w:pPr>
      <w:r>
        <w:rPr>
          <w:rFonts w:ascii="Times New Roman" w:hAnsi="Times New Roman"/>
          <w:bCs/>
          <w:sz w:val="24"/>
          <w:szCs w:val="24"/>
        </w:rPr>
        <w:t>3.3.2.1. Консультация пользователей:</w:t>
      </w:r>
    </w:p>
    <w:p>
      <w:pPr>
        <w:pStyle w:val="Normal"/>
        <w:jc w:val="start"/>
        <w:rPr>
          <w:rFonts w:ascii="Times New Roman" w:hAnsi="Times New Roman"/>
          <w:sz w:val="24"/>
          <w:szCs w:val="24"/>
        </w:rPr>
      </w:pPr>
      <w:r>
        <w:rPr>
          <w:rFonts w:ascii="Times New Roman" w:hAnsi="Times New Roman"/>
          <w:sz w:val="24"/>
          <w:szCs w:val="24"/>
        </w:rPr>
        <w:t xml:space="preserve">Необходимо наличие выделенной не лимитированной телефонной линии консультаций в </w:t>
      </w:r>
      <w:r>
        <w:rPr>
          <w:rFonts w:ascii="Times New Roman" w:hAnsi="Times New Roman"/>
          <w:sz w:val="24"/>
          <w:szCs w:val="24"/>
          <w:shd w:fill="auto" w:val="clear"/>
        </w:rPr>
        <w:t>рабочие дни с 9:00 до 18:00 (по московскому времени);</w:t>
      </w:r>
    </w:p>
    <w:p>
      <w:pPr>
        <w:pStyle w:val="Normal"/>
        <w:jc w:val="start"/>
        <w:rPr>
          <w:rFonts w:ascii="Times New Roman" w:hAnsi="Times New Roman"/>
          <w:sz w:val="24"/>
          <w:szCs w:val="24"/>
        </w:rPr>
      </w:pPr>
      <w:r>
        <w:rPr>
          <w:rFonts w:ascii="Times New Roman" w:hAnsi="Times New Roman"/>
          <w:sz w:val="24"/>
          <w:szCs w:val="24"/>
        </w:rPr>
        <w:t>3.3.2.2. Работы по гарантийному и техническому обслуживанию проводятся удаленно (подключение к выделенному сегменту сети по средствам использования VPN-соединения (протоколы L2TP/IPSec, IKEv2) на базе программного обеспечения «Межсетевой экран Ideco UTM»).</w:t>
      </w:r>
    </w:p>
    <w:p>
      <w:pPr>
        <w:pStyle w:val="ListParagraph"/>
        <w:spacing w:lineRule="auto" w:line="240"/>
        <w:ind w:hanging="0" w:start="720" w:end="77"/>
        <w:rPr>
          <w:rFonts w:ascii="Times New Roman" w:hAnsi="Times New Roman"/>
          <w:sz w:val="24"/>
          <w:szCs w:val="24"/>
        </w:rPr>
      </w:pPr>
      <w:r>
        <w:rPr>
          <w:rFonts w:cs="Times New Roman" w:ascii="Times New Roman" w:hAnsi="Times New Roman"/>
          <w:b/>
          <w:bCs/>
          <w:sz w:val="24"/>
          <w:szCs w:val="24"/>
        </w:rPr>
        <w:t>4.</w:t>
      </w:r>
      <w:r>
        <w:rPr>
          <w:rFonts w:cs="Times New Roman" w:ascii="Times New Roman" w:hAnsi="Times New Roman"/>
          <w:sz w:val="24"/>
          <w:szCs w:val="24"/>
        </w:rPr>
        <w:t xml:space="preserve"> </w:t>
      </w:r>
      <w:r>
        <w:rPr>
          <w:rFonts w:cs="Times New Roman" w:ascii="Times New Roman" w:hAnsi="Times New Roman"/>
          <w:b/>
          <w:sz w:val="24"/>
          <w:szCs w:val="24"/>
        </w:rPr>
        <w:t xml:space="preserve">Требования к исполнителю. </w:t>
      </w:r>
    </w:p>
    <w:p>
      <w:pPr>
        <w:pStyle w:val="Normal"/>
        <w:spacing w:lineRule="auto" w:line="240"/>
        <w:ind w:firstLine="567" w:start="360" w:end="77"/>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ind w:firstLine="709" w:start="0" w:end="77"/>
        <w:rPr>
          <w:rFonts w:ascii="Times New Roman" w:hAnsi="Times New Roman" w:cs="Times New Roman"/>
          <w:sz w:val="24"/>
          <w:szCs w:val="24"/>
        </w:rPr>
      </w:pPr>
      <w:r>
        <w:rPr>
          <w:rFonts w:cs="Times New Roman" w:ascii="Times New Roman" w:hAnsi="Times New Roman"/>
          <w:sz w:val="24"/>
          <w:szCs w:val="24"/>
        </w:rPr>
        <w:t>Исполнитель обязан в течении 14 календарных дней после заключения Договора предоставить документы, подтверждающие квалификацию:</w:t>
      </w:r>
    </w:p>
    <w:p>
      <w:pPr>
        <w:pStyle w:val="Normal"/>
        <w:numPr>
          <w:ilvl w:val="0"/>
          <w:numId w:val="6"/>
        </w:numPr>
        <w:spacing w:lineRule="auto" w:line="240"/>
        <w:ind w:hanging="284" w:start="993" w:end="77"/>
        <w:rPr>
          <w:rFonts w:ascii="Times New Roman" w:hAnsi="Times New Roman" w:cs="Times New Roman"/>
          <w:sz w:val="24"/>
          <w:szCs w:val="24"/>
        </w:rPr>
      </w:pPr>
      <w:r>
        <w:rPr>
          <w:rFonts w:cs="Times New Roman" w:ascii="Times New Roman" w:hAnsi="Times New Roman"/>
          <w:sz w:val="24"/>
          <w:szCs w:val="24"/>
        </w:rPr>
        <w:t>Обслуживание СВК должно осуществляться специалистами АО «ВИК «Тензо-М», ООО «Торговый дом «Тензо-М» или ООО «Тензо-М Интегратор» или их официальными партнерами, прошедшими обучение и имеющими Сертификат (Свидетельство) АО «ВИК «Тензо-М» с правом эксплуатации СВК. Квалификация специалистов подтверждается Свидетельством о прохождении обучения в АО «ВИК «Тензо-М».</w:t>
      </w:r>
    </w:p>
    <w:p>
      <w:pPr>
        <w:pStyle w:val="Normal"/>
        <w:numPr>
          <w:ilvl w:val="0"/>
          <w:numId w:val="6"/>
        </w:numPr>
        <w:spacing w:lineRule="auto" w:line="240"/>
        <w:ind w:hanging="284" w:start="993" w:end="77"/>
        <w:rPr>
          <w:rFonts w:ascii="Times New Roman" w:hAnsi="Times New Roman"/>
          <w:sz w:val="24"/>
          <w:szCs w:val="24"/>
        </w:rPr>
      </w:pPr>
      <w:r>
        <w:rPr>
          <w:rFonts w:cs="Times New Roman" w:ascii="Times New Roman" w:hAnsi="Times New Roman"/>
          <w:sz w:val="24"/>
          <w:szCs w:val="24"/>
        </w:rPr>
        <w:t xml:space="preserve">Работы по обслуживанию электроборудования и сетей электроснабжения, должны осуществляться оперативным, оперативно-ремонтным и ремонтным электротехническим персоналом не ниже </w:t>
      </w:r>
      <w:r>
        <w:rPr>
          <w:rFonts w:cs="Times New Roman" w:ascii="Times New Roman" w:hAnsi="Times New Roman"/>
          <w:sz w:val="24"/>
          <w:szCs w:val="24"/>
          <w:lang w:val="en-US"/>
        </w:rPr>
        <w:t>III</w:t>
      </w:r>
      <w:r>
        <w:rPr>
          <w:rFonts w:cs="Times New Roman" w:ascii="Times New Roman" w:hAnsi="Times New Roman"/>
          <w:sz w:val="24"/>
          <w:szCs w:val="24"/>
        </w:rPr>
        <w:t xml:space="preserve"> группы допуска, с действующими удостоверениями.</w:t>
      </w:r>
    </w:p>
    <w:p>
      <w:pPr>
        <w:pStyle w:val="Normal"/>
        <w:spacing w:lineRule="auto" w:line="240"/>
        <w:ind w:firstLine="567" w:start="0" w:end="77"/>
        <w:rPr>
          <w:rFonts w:ascii="Times New Roman" w:hAnsi="Times New Roman" w:cs="Times New Roman"/>
          <w:sz w:val="24"/>
          <w:szCs w:val="24"/>
        </w:rPr>
      </w:pPr>
      <w:r>
        <w:rPr>
          <w:rFonts w:cs="Times New Roman" w:ascii="Times New Roman" w:hAnsi="Times New Roman"/>
          <w:sz w:val="24"/>
          <w:szCs w:val="24"/>
        </w:rPr>
      </w:r>
    </w:p>
    <w:p>
      <w:pPr>
        <w:pStyle w:val="Normal"/>
        <w:keepNext w:val="true"/>
        <w:keepLines/>
        <w:numPr>
          <w:ilvl w:val="0"/>
          <w:numId w:val="0"/>
        </w:numPr>
        <w:spacing w:lineRule="auto" w:line="240" w:before="0" w:after="160"/>
        <w:ind w:firstLine="737" w:start="0" w:end="0"/>
        <w:outlineLvl w:val="0"/>
        <w:rPr>
          <w:rFonts w:ascii="Times New Roman" w:hAnsi="Times New Roman"/>
          <w:sz w:val="24"/>
          <w:szCs w:val="24"/>
        </w:rPr>
      </w:pPr>
      <w:r>
        <w:rPr>
          <w:rFonts w:cs="Times New Roman" w:ascii="Times New Roman" w:hAnsi="Times New Roman"/>
          <w:b/>
          <w:bCs/>
          <w:sz w:val="24"/>
          <w:szCs w:val="24"/>
        </w:rPr>
        <w:t xml:space="preserve">5. </w:t>
      </w:r>
      <w:r>
        <w:rPr>
          <w:rFonts w:cs="Times New Roman" w:ascii="Times New Roman" w:hAnsi="Times New Roman"/>
          <w:b/>
          <w:sz w:val="24"/>
          <w:szCs w:val="24"/>
          <w:lang w:eastAsia="en-US"/>
        </w:rPr>
        <w:t>Требования к используемым материалам.</w:t>
      </w:r>
    </w:p>
    <w:p>
      <w:pPr>
        <w:pStyle w:val="Normal"/>
        <w:spacing w:lineRule="auto" w:line="240"/>
        <w:ind w:firstLine="737" w:start="0" w:end="57"/>
        <w:rPr>
          <w:rFonts w:ascii="Times New Roman" w:hAnsi="Times New Roman" w:cs="Times New Roman"/>
          <w:sz w:val="24"/>
          <w:szCs w:val="24"/>
        </w:rPr>
      </w:pPr>
      <w:r>
        <w:rPr>
          <w:rFonts w:cs="Times New Roman" w:ascii="Times New Roman" w:hAnsi="Times New Roman"/>
          <w:sz w:val="24"/>
          <w:szCs w:val="24"/>
        </w:rPr>
        <w:t xml:space="preserve">5.1.  При оказании услуг по содержанию АПВГК необходимо использовать материалов, изделий и необходимого оборудования, имеющего соответствующие сертификаты, технические паспорта и другие документы, подтверждающие надлежащее качество применяемых материалов, изделий и оборудования.  </w:t>
      </w:r>
    </w:p>
    <w:p>
      <w:pPr>
        <w:pStyle w:val="Normal"/>
        <w:spacing w:lineRule="auto" w:line="240"/>
        <w:ind w:firstLine="737" w:start="0" w:end="57"/>
        <w:rPr>
          <w:rFonts w:ascii="Times New Roman" w:hAnsi="Times New Roman" w:cs="Times New Roman"/>
          <w:sz w:val="24"/>
          <w:szCs w:val="24"/>
        </w:rPr>
      </w:pPr>
      <w:r>
        <w:rPr>
          <w:rFonts w:cs="Times New Roman" w:ascii="Times New Roman" w:hAnsi="Times New Roman"/>
          <w:sz w:val="24"/>
          <w:szCs w:val="24"/>
        </w:rPr>
        <w:t>5.2. Копии документов, подтверждающих качество, должны предоставляться Заказчику по его требованию.</w:t>
      </w:r>
    </w:p>
    <w:p>
      <w:pPr>
        <w:pStyle w:val="Normal"/>
        <w:spacing w:lineRule="auto" w:line="240"/>
        <w:jc w:val="start"/>
        <w:rPr>
          <w:rFonts w:ascii="Times New Roman" w:hAnsi="Times New Roman"/>
          <w:sz w:val="24"/>
          <w:szCs w:val="24"/>
        </w:rPr>
      </w:pPr>
      <w:r>
        <w:rPr>
          <w:rFonts w:ascii="Times New Roman" w:hAnsi="Times New Roman"/>
          <w:sz w:val="24"/>
          <w:szCs w:val="24"/>
        </w:rPr>
      </w:r>
    </w:p>
    <w:p>
      <w:pPr>
        <w:pStyle w:val="Normal"/>
        <w:spacing w:lineRule="auto" w:line="240" w:before="0" w:after="120"/>
        <w:ind w:hanging="0" w:start="709" w:end="57"/>
        <w:rPr>
          <w:rFonts w:ascii="Times New Roman" w:hAnsi="Times New Roman" w:cs="Times New Roman"/>
          <w:b/>
          <w:sz w:val="24"/>
          <w:szCs w:val="24"/>
        </w:rPr>
      </w:pPr>
      <w:r>
        <w:rPr>
          <w:rFonts w:cs="Times New Roman" w:ascii="Times New Roman" w:hAnsi="Times New Roman"/>
          <w:b/>
          <w:sz w:val="24"/>
          <w:szCs w:val="24"/>
        </w:rPr>
        <w:t xml:space="preserve">6. Документация.                                            </w:t>
      </w:r>
    </w:p>
    <w:p>
      <w:pPr>
        <w:pStyle w:val="Normal"/>
        <w:spacing w:lineRule="auto" w:line="240"/>
        <w:ind w:firstLine="737" w:start="0" w:end="0"/>
        <w:rPr>
          <w:rFonts w:ascii="Times New Roman" w:hAnsi="Times New Roman" w:cs="Times New Roman"/>
          <w:sz w:val="24"/>
          <w:szCs w:val="24"/>
        </w:rPr>
      </w:pPr>
      <w:r>
        <w:rPr>
          <w:rFonts w:cs="Times New Roman" w:ascii="Times New Roman" w:hAnsi="Times New Roman"/>
          <w:sz w:val="24"/>
          <w:szCs w:val="24"/>
        </w:rPr>
        <w:t xml:space="preserve">В ходе эксплуатации объекта Исполнитель ведет документацию, предусмотренную «Руководством по эксплуатации СВК-Система дорожного весового и габаритного контроля» и предоставляет её Заказчику при сдаче объёмов оказанных услуг с предоставлением фотоматериалов.   </w:t>
      </w:r>
    </w:p>
    <w:p>
      <w:pPr>
        <w:pStyle w:val="Normal"/>
        <w:spacing w:lineRule="auto" w:line="240"/>
        <w:jc w:val="start"/>
        <w:rPr>
          <w:rFonts w:ascii="Times New Roman" w:hAnsi="Times New Roman"/>
          <w:sz w:val="24"/>
          <w:szCs w:val="24"/>
        </w:rPr>
      </w:pPr>
      <w:r>
        <w:rPr>
          <w:rFonts w:cs="Times New Roman" w:ascii="Times New Roman" w:hAnsi="Times New Roman"/>
          <w:sz w:val="24"/>
          <w:szCs w:val="24"/>
        </w:rPr>
        <w:t xml:space="preserve">                                                         </w:t>
      </w:r>
    </w:p>
    <w:p>
      <w:pPr>
        <w:pStyle w:val="Normal"/>
        <w:spacing w:lineRule="auto" w:line="240" w:before="0" w:after="40"/>
        <w:ind w:firstLine="737" w:start="0" w:end="57"/>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ind w:hanging="256" w:start="993" w:end="0"/>
        <w:rPr>
          <w:rFonts w:ascii="Times New Roman" w:hAnsi="Times New Roman" w:cs="Times New Roman"/>
          <w:sz w:val="24"/>
          <w:szCs w:val="24"/>
        </w:rPr>
      </w:pPr>
      <w:r>
        <w:rPr>
          <w:rFonts w:cs="Times New Roman" w:ascii="Times New Roman" w:hAnsi="Times New Roman"/>
          <w:sz w:val="24"/>
          <w:szCs w:val="24"/>
        </w:rPr>
      </w:r>
    </w:p>
    <w:sectPr>
      <w:type w:val="nextPage"/>
      <w:pgSz w:w="11906" w:h="16838"/>
      <w:pgMar w:left="1304" w:right="737"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XO Thames">
    <w:charset w:val="01" w:characterSet="utf-8"/>
    <w:family w:val="roman"/>
    <w:pitch w:val="variable"/>
  </w:font>
  <w:font w:name="Liberation Sans">
    <w:altName w:val="Arial"/>
    <w:charset w:val="01" w:characterSet="utf-8"/>
    <w:family w:val="swiss"/>
    <w:pitch w:val="variable"/>
  </w:font>
  <w:font w:name="Calibri">
    <w:charset w:val="01" w:characterSet="utf-8"/>
    <w:family w:val="swiss"/>
    <w:pitch w:val="variable"/>
  </w:font>
  <w:font w:name="Times New Roman">
    <w:charset w:val="01" w:characterSet="utf-8"/>
    <w:family w:val="roman"/>
    <w:pitch w:val="variable"/>
  </w:font>
  <w:font w:name="Arial">
    <w:charset w:val="01" w:characterSet="utf-8"/>
    <w:family w:val="swiss"/>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6096" w:hanging="0"/>
      </w:pPr>
      <w:rPr>
        <w:rFonts w:ascii="Times New Roman" w:hAnsi="Times New Roman" w:cs="Times New Roman" w:hint="default"/>
      </w:rPr>
    </w:lvl>
    <w:lvl w:ilvl="1">
      <w:start w:val="1"/>
      <w:numFmt w:val="bullet"/>
      <w:lvlText w:val="o"/>
      <w:lvlJc w:val="start"/>
      <w:pPr>
        <w:tabs>
          <w:tab w:val="num" w:pos="0"/>
        </w:tabs>
        <w:ind w:start="1288" w:hanging="0"/>
      </w:pPr>
      <w:rPr>
        <w:rFonts w:ascii="Courier New" w:hAnsi="Courier New" w:cs="Courier New" w:hint="default"/>
      </w:rPr>
    </w:lvl>
    <w:lvl w:ilvl="2">
      <w:start w:val="1"/>
      <w:numFmt w:val="bullet"/>
      <w:lvlText w:val=""/>
      <w:lvlJc w:val="start"/>
      <w:pPr>
        <w:tabs>
          <w:tab w:val="num" w:pos="0"/>
        </w:tabs>
        <w:ind w:start="2008" w:hanging="0"/>
      </w:pPr>
      <w:rPr>
        <w:rFonts w:ascii="Wingdings" w:hAnsi="Wingdings" w:cs="Wingdings" w:hint="default"/>
      </w:rPr>
    </w:lvl>
    <w:lvl w:ilvl="3">
      <w:start w:val="1"/>
      <w:numFmt w:val="bullet"/>
      <w:lvlText w:val="·"/>
      <w:lvlJc w:val="start"/>
      <w:pPr>
        <w:tabs>
          <w:tab w:val="num" w:pos="0"/>
        </w:tabs>
        <w:ind w:start="2728" w:hanging="0"/>
      </w:pPr>
      <w:rPr>
        <w:rFonts w:ascii="Symbol" w:hAnsi="Symbol" w:cs="Symbol" w:hint="default"/>
      </w:rPr>
    </w:lvl>
    <w:lvl w:ilvl="4">
      <w:start w:val="1"/>
      <w:numFmt w:val="bullet"/>
      <w:lvlText w:val="o"/>
      <w:lvlJc w:val="start"/>
      <w:pPr>
        <w:tabs>
          <w:tab w:val="num" w:pos="0"/>
        </w:tabs>
        <w:ind w:start="3448" w:hanging="0"/>
      </w:pPr>
      <w:rPr>
        <w:rFonts w:ascii="Courier New" w:hAnsi="Courier New" w:cs="Courier New" w:hint="default"/>
      </w:rPr>
    </w:lvl>
    <w:lvl w:ilvl="5">
      <w:start w:val="1"/>
      <w:numFmt w:val="bullet"/>
      <w:lvlText w:val=""/>
      <w:lvlJc w:val="start"/>
      <w:pPr>
        <w:tabs>
          <w:tab w:val="num" w:pos="0"/>
        </w:tabs>
        <w:ind w:start="4168" w:hanging="0"/>
      </w:pPr>
      <w:rPr>
        <w:rFonts w:ascii="Wingdings" w:hAnsi="Wingdings" w:cs="Wingdings" w:hint="default"/>
      </w:rPr>
    </w:lvl>
    <w:lvl w:ilvl="6">
      <w:start w:val="1"/>
      <w:numFmt w:val="bullet"/>
      <w:lvlText w:val="·"/>
      <w:lvlJc w:val="start"/>
      <w:pPr>
        <w:tabs>
          <w:tab w:val="num" w:pos="0"/>
        </w:tabs>
        <w:ind w:start="4888" w:hanging="0"/>
      </w:pPr>
      <w:rPr>
        <w:rFonts w:ascii="Symbol" w:hAnsi="Symbol" w:cs="Symbol" w:hint="default"/>
      </w:rPr>
    </w:lvl>
    <w:lvl w:ilvl="7">
      <w:start w:val="1"/>
      <w:numFmt w:val="bullet"/>
      <w:lvlText w:val="o"/>
      <w:lvlJc w:val="start"/>
      <w:pPr>
        <w:tabs>
          <w:tab w:val="num" w:pos="0"/>
        </w:tabs>
        <w:ind w:start="5608" w:hanging="0"/>
      </w:pPr>
      <w:rPr>
        <w:rFonts w:ascii="Courier New" w:hAnsi="Courier New" w:cs="Courier New" w:hint="default"/>
      </w:rPr>
    </w:lvl>
    <w:lvl w:ilvl="8">
      <w:start w:val="1"/>
      <w:numFmt w:val="bullet"/>
      <w:lvlText w:val=""/>
      <w:lvlJc w:val="start"/>
      <w:pPr>
        <w:tabs>
          <w:tab w:val="num" w:pos="0"/>
        </w:tabs>
        <w:ind w:start="6328" w:hanging="0"/>
      </w:pPr>
      <w:rPr>
        <w:rFonts w:ascii="Wingdings" w:hAnsi="Wingdings" w:cs="Wingdings" w:hint="default"/>
      </w:rPr>
    </w:lvl>
  </w:abstractNum>
  <w:abstractNum w:abstractNumId="2">
    <w:lvl w:ilvl="0">
      <w:start w:val="1"/>
      <w:numFmt w:val="bullet"/>
      <w:lvlText w:val="-"/>
      <w:lvlJc w:val="start"/>
      <w:pPr>
        <w:tabs>
          <w:tab w:val="num" w:pos="0"/>
        </w:tabs>
        <w:ind w:start="927" w:hanging="0"/>
      </w:pPr>
      <w:rPr>
        <w:rFonts w:ascii="Times New Roman" w:hAnsi="Times New Roman" w:cs="Times New Roman" w:hint="default"/>
      </w:rPr>
    </w:lvl>
    <w:lvl w:ilvl="1">
      <w:start w:val="1"/>
      <w:numFmt w:val="bullet"/>
      <w:lvlText w:val="o"/>
      <w:lvlJc w:val="start"/>
      <w:pPr>
        <w:tabs>
          <w:tab w:val="num" w:pos="0"/>
        </w:tabs>
        <w:ind w:start="1647" w:hanging="0"/>
      </w:pPr>
      <w:rPr>
        <w:rFonts w:ascii="Courier New" w:hAnsi="Courier New" w:cs="Courier New" w:hint="default"/>
      </w:rPr>
    </w:lvl>
    <w:lvl w:ilvl="2">
      <w:start w:val="1"/>
      <w:numFmt w:val="bullet"/>
      <w:lvlText w:val=""/>
      <w:lvlJc w:val="start"/>
      <w:pPr>
        <w:tabs>
          <w:tab w:val="num" w:pos="0"/>
        </w:tabs>
        <w:ind w:start="2367" w:hanging="0"/>
      </w:pPr>
      <w:rPr>
        <w:rFonts w:ascii="Wingdings" w:hAnsi="Wingdings" w:cs="Wingdings" w:hint="default"/>
      </w:rPr>
    </w:lvl>
    <w:lvl w:ilvl="3">
      <w:start w:val="1"/>
      <w:numFmt w:val="bullet"/>
      <w:lvlText w:val="·"/>
      <w:lvlJc w:val="start"/>
      <w:pPr>
        <w:tabs>
          <w:tab w:val="num" w:pos="0"/>
        </w:tabs>
        <w:ind w:start="3087" w:hanging="0"/>
      </w:pPr>
      <w:rPr>
        <w:rFonts w:ascii="Symbol" w:hAnsi="Symbol" w:cs="Symbol" w:hint="default"/>
      </w:rPr>
    </w:lvl>
    <w:lvl w:ilvl="4">
      <w:start w:val="1"/>
      <w:numFmt w:val="bullet"/>
      <w:lvlText w:val="o"/>
      <w:lvlJc w:val="start"/>
      <w:pPr>
        <w:tabs>
          <w:tab w:val="num" w:pos="0"/>
        </w:tabs>
        <w:ind w:start="3807" w:hanging="0"/>
      </w:pPr>
      <w:rPr>
        <w:rFonts w:ascii="Courier New" w:hAnsi="Courier New" w:cs="Courier New" w:hint="default"/>
      </w:rPr>
    </w:lvl>
    <w:lvl w:ilvl="5">
      <w:start w:val="1"/>
      <w:numFmt w:val="bullet"/>
      <w:lvlText w:val=""/>
      <w:lvlJc w:val="start"/>
      <w:pPr>
        <w:tabs>
          <w:tab w:val="num" w:pos="0"/>
        </w:tabs>
        <w:ind w:start="4527" w:hanging="0"/>
      </w:pPr>
      <w:rPr>
        <w:rFonts w:ascii="Wingdings" w:hAnsi="Wingdings" w:cs="Wingdings" w:hint="default"/>
      </w:rPr>
    </w:lvl>
    <w:lvl w:ilvl="6">
      <w:start w:val="1"/>
      <w:numFmt w:val="bullet"/>
      <w:lvlText w:val="·"/>
      <w:lvlJc w:val="start"/>
      <w:pPr>
        <w:tabs>
          <w:tab w:val="num" w:pos="0"/>
        </w:tabs>
        <w:ind w:start="5247" w:hanging="0"/>
      </w:pPr>
      <w:rPr>
        <w:rFonts w:ascii="Symbol" w:hAnsi="Symbol" w:cs="Symbol" w:hint="default"/>
      </w:rPr>
    </w:lvl>
    <w:lvl w:ilvl="7">
      <w:start w:val="1"/>
      <w:numFmt w:val="bullet"/>
      <w:lvlText w:val="o"/>
      <w:lvlJc w:val="start"/>
      <w:pPr>
        <w:tabs>
          <w:tab w:val="num" w:pos="0"/>
        </w:tabs>
        <w:ind w:start="5967" w:hanging="0"/>
      </w:pPr>
      <w:rPr>
        <w:rFonts w:ascii="Courier New" w:hAnsi="Courier New" w:cs="Courier New" w:hint="default"/>
      </w:rPr>
    </w:lvl>
    <w:lvl w:ilvl="8">
      <w:start w:val="1"/>
      <w:numFmt w:val="bullet"/>
      <w:lvlText w:val=""/>
      <w:lvlJc w:val="start"/>
      <w:pPr>
        <w:tabs>
          <w:tab w:val="num" w:pos="0"/>
        </w:tabs>
        <w:ind w:start="6687" w:hanging="0"/>
      </w:pPr>
      <w:rPr>
        <w:rFonts w:ascii="Wingdings" w:hAnsi="Wingdings" w:cs="Wingdings" w:hint="default"/>
      </w:rPr>
    </w:lvl>
  </w:abstractNum>
  <w:abstractNum w:abstractNumId="3">
    <w:lvl w:ilvl="0">
      <w:start w:val="3"/>
      <w:numFmt w:val="decimal"/>
      <w:lvlText w:val="%1."/>
      <w:lvlJc w:val="start"/>
      <w:pPr>
        <w:tabs>
          <w:tab w:val="num" w:pos="0"/>
        </w:tabs>
        <w:ind w:start="0" w:hanging="0"/>
      </w:pPr>
      <w:rPr/>
    </w:lvl>
    <w:lvl w:ilvl="1">
      <w:start w:val="2"/>
      <w:numFmt w:val="decimal"/>
      <w:lvlText w:val="%1.%2."/>
      <w:lvlJc w:val="start"/>
      <w:pPr>
        <w:tabs>
          <w:tab w:val="num" w:pos="0"/>
        </w:tabs>
        <w:ind w:start="360" w:hanging="0"/>
      </w:pPr>
      <w:rPr>
        <w:sz w:val="22"/>
        <w:b/>
        <w:szCs w:val="22"/>
        <w:bCs/>
      </w:rPr>
    </w:lvl>
    <w:lvl w:ilvl="2">
      <w:start w:val="1"/>
      <w:numFmt w:val="decimal"/>
      <w:lvlText w:val="%1.%2.%3."/>
      <w:lvlJc w:val="start"/>
      <w:pPr>
        <w:tabs>
          <w:tab w:val="num" w:pos="0"/>
        </w:tabs>
        <w:ind w:start="720" w:hanging="0"/>
      </w:pPr>
      <w:rPr/>
    </w:lvl>
    <w:lvl w:ilvl="3">
      <w:start w:val="1"/>
      <w:numFmt w:val="decimal"/>
      <w:lvlText w:val="%1.%2.%3.%4."/>
      <w:lvlJc w:val="start"/>
      <w:pPr>
        <w:tabs>
          <w:tab w:val="num" w:pos="0"/>
        </w:tabs>
        <w:ind w:start="1080" w:hanging="0"/>
      </w:pPr>
      <w:rPr/>
    </w:lvl>
    <w:lvl w:ilvl="4">
      <w:start w:val="1"/>
      <w:numFmt w:val="decimal"/>
      <w:lvlText w:val="%1.%2.%3.%4.%5."/>
      <w:lvlJc w:val="start"/>
      <w:pPr>
        <w:tabs>
          <w:tab w:val="num" w:pos="0"/>
        </w:tabs>
        <w:ind w:start="1440" w:hanging="0"/>
      </w:pPr>
      <w:rPr/>
    </w:lvl>
    <w:lvl w:ilvl="5">
      <w:start w:val="1"/>
      <w:numFmt w:val="decimal"/>
      <w:lvlText w:val="%1.%2.%3.%4.%5.%6."/>
      <w:lvlJc w:val="start"/>
      <w:pPr>
        <w:tabs>
          <w:tab w:val="num" w:pos="0"/>
        </w:tabs>
        <w:ind w:start="1800" w:hanging="0"/>
      </w:pPr>
      <w:rPr/>
    </w:lvl>
    <w:lvl w:ilvl="6">
      <w:start w:val="1"/>
      <w:numFmt w:val="decimal"/>
      <w:lvlText w:val="%1.%2.%3.%4.%5.%6.%7."/>
      <w:lvlJc w:val="start"/>
      <w:pPr>
        <w:tabs>
          <w:tab w:val="num" w:pos="0"/>
        </w:tabs>
        <w:ind w:start="2160" w:hanging="0"/>
      </w:pPr>
      <w:rPr/>
    </w:lvl>
    <w:lvl w:ilvl="7">
      <w:start w:val="1"/>
      <w:numFmt w:val="decimal"/>
      <w:lvlText w:val="%1.%2.%3.%4.%5.%6.%7.%8."/>
      <w:lvlJc w:val="start"/>
      <w:pPr>
        <w:tabs>
          <w:tab w:val="num" w:pos="0"/>
        </w:tabs>
        <w:ind w:start="2520" w:hanging="0"/>
      </w:pPr>
      <w:rPr/>
    </w:lvl>
    <w:lvl w:ilvl="8">
      <w:start w:val="1"/>
      <w:numFmt w:val="decimal"/>
      <w:lvlText w:val="%1.%2.%3.%4.%5.%6.%7.%8.%9."/>
      <w:lvlJc w:val="start"/>
      <w:pPr>
        <w:tabs>
          <w:tab w:val="num" w:pos="0"/>
        </w:tabs>
        <w:ind w:start="2880" w:hanging="0"/>
      </w:pPr>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decimal"/>
      <w:lvlText w:val="%1."/>
      <w:lvlJc w:val="start"/>
      <w:pPr>
        <w:tabs>
          <w:tab w:val="num" w:pos="0"/>
        </w:tabs>
        <w:ind w:start="927" w:hanging="360"/>
      </w:pPr>
      <w:rPr/>
    </w:lvl>
    <w:lvl w:ilvl="1">
      <w:start w:val="1"/>
      <w:numFmt w:val="lowerLetter"/>
      <w:lvlText w:val="%2."/>
      <w:lvlJc w:val="start"/>
      <w:pPr>
        <w:tabs>
          <w:tab w:val="num" w:pos="0"/>
        </w:tabs>
        <w:ind w:start="1647" w:hanging="360"/>
      </w:pPr>
      <w:rPr/>
    </w:lvl>
    <w:lvl w:ilvl="2">
      <w:start w:val="1"/>
      <w:numFmt w:val="lowerRoman"/>
      <w:lvlText w:val="%3."/>
      <w:lvlJc w:val="end"/>
      <w:pPr>
        <w:tabs>
          <w:tab w:val="num" w:pos="0"/>
        </w:tabs>
        <w:ind w:start="2367" w:hanging="180"/>
      </w:pPr>
      <w:rPr/>
    </w:lvl>
    <w:lvl w:ilvl="3">
      <w:start w:val="1"/>
      <w:numFmt w:val="decimal"/>
      <w:lvlText w:val="%4."/>
      <w:lvlJc w:val="start"/>
      <w:pPr>
        <w:tabs>
          <w:tab w:val="num" w:pos="0"/>
        </w:tabs>
        <w:ind w:start="3087" w:hanging="360"/>
      </w:pPr>
      <w:rPr/>
    </w:lvl>
    <w:lvl w:ilvl="4">
      <w:start w:val="1"/>
      <w:numFmt w:val="lowerLetter"/>
      <w:lvlText w:val="%5."/>
      <w:lvlJc w:val="start"/>
      <w:pPr>
        <w:tabs>
          <w:tab w:val="num" w:pos="0"/>
        </w:tabs>
        <w:ind w:start="3807" w:hanging="360"/>
      </w:pPr>
      <w:rPr/>
    </w:lvl>
    <w:lvl w:ilvl="5">
      <w:start w:val="1"/>
      <w:numFmt w:val="lowerRoman"/>
      <w:lvlText w:val="%6."/>
      <w:lvlJc w:val="end"/>
      <w:pPr>
        <w:tabs>
          <w:tab w:val="num" w:pos="0"/>
        </w:tabs>
        <w:ind w:start="4527" w:hanging="180"/>
      </w:pPr>
      <w:rPr/>
    </w:lvl>
    <w:lvl w:ilvl="6">
      <w:start w:val="1"/>
      <w:numFmt w:val="decimal"/>
      <w:lvlText w:val="%7."/>
      <w:lvlJc w:val="start"/>
      <w:pPr>
        <w:tabs>
          <w:tab w:val="num" w:pos="0"/>
        </w:tabs>
        <w:ind w:start="5247" w:hanging="360"/>
      </w:pPr>
      <w:rPr/>
    </w:lvl>
    <w:lvl w:ilvl="7">
      <w:start w:val="1"/>
      <w:numFmt w:val="lowerLetter"/>
      <w:lvlText w:val="%8."/>
      <w:lvlJc w:val="start"/>
      <w:pPr>
        <w:tabs>
          <w:tab w:val="num" w:pos="0"/>
        </w:tabs>
        <w:ind w:start="5967" w:hanging="360"/>
      </w:pPr>
      <w:rPr/>
    </w:lvl>
    <w:lvl w:ilvl="8">
      <w:start w:val="1"/>
      <w:numFmt w:val="lowerRoman"/>
      <w:lvlText w:val="%9."/>
      <w:lvlJc w:val="end"/>
      <w:pPr>
        <w:tabs>
          <w:tab w:val="num" w:pos="0"/>
        </w:tabs>
        <w:ind w:start="6687" w:hanging="180"/>
      </w:pPr>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Noto Sans"/>
        <w:color w:val="000000"/>
        <w:sz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lineRule="auto" w:line="240" w:before="0" w:after="0"/>
      <w:ind w:hanging="0" w:start="0" w:end="0"/>
      <w:jc w:val="both"/>
    </w:pPr>
    <w:rPr>
      <w:rFonts w:ascii="XO Thames" w:hAnsi="XO Thames" w:eastAsia="Tahoma" w:cs="Noto Sans"/>
      <w:color w:val="000000"/>
      <w:spacing w:val="0"/>
      <w:kern w:val="0"/>
      <w:sz w:val="28"/>
      <w:szCs w:val="20"/>
      <w:lang w:val="ru-RU" w:eastAsia="zh-CN" w:bidi="hi-IN"/>
    </w:rPr>
  </w:style>
  <w:style w:type="paragraph" w:styleId="Heading1">
    <w:name w:val="heading 1"/>
    <w:next w:val="Normal"/>
    <w:qFormat/>
    <w:pPr>
      <w:widowControl/>
      <w:numPr>
        <w:ilvl w:val="0"/>
        <w:numId w:val="0"/>
      </w:numPr>
      <w:suppressAutoHyphens w:val="true"/>
      <w:overflowPunct w:val="false"/>
      <w:bidi w:val="0"/>
      <w:spacing w:lineRule="auto" w:line="240" w:before="120" w:after="120"/>
      <w:ind w:hanging="0" w:start="0" w:end="0"/>
      <w:jc w:val="both"/>
      <w:outlineLvl w:val="0"/>
    </w:pPr>
    <w:rPr>
      <w:rFonts w:ascii="XO Thames" w:hAnsi="XO Thames" w:eastAsia="Tahoma" w:cs="Noto Sans"/>
      <w:b/>
      <w:color w:val="000000"/>
      <w:spacing w:val="0"/>
      <w:kern w:val="0"/>
      <w:sz w:val="32"/>
      <w:szCs w:val="20"/>
      <w:lang w:val="ru-RU" w:eastAsia="zh-CN" w:bidi="hi-IN"/>
    </w:rPr>
  </w:style>
  <w:style w:type="paragraph" w:styleId="Heading2">
    <w:name w:val="heading 2"/>
    <w:next w:val="Normal"/>
    <w:qFormat/>
    <w:pPr>
      <w:widowControl/>
      <w:numPr>
        <w:ilvl w:val="0"/>
        <w:numId w:val="0"/>
      </w:numPr>
      <w:suppressAutoHyphens w:val="true"/>
      <w:overflowPunct w:val="false"/>
      <w:bidi w:val="0"/>
      <w:spacing w:lineRule="auto" w:line="240" w:before="120" w:after="120"/>
      <w:ind w:hanging="0" w:start="0" w:end="0"/>
      <w:jc w:val="both"/>
      <w:outlineLvl w:val="1"/>
    </w:pPr>
    <w:rPr>
      <w:rFonts w:ascii="XO Thames" w:hAnsi="XO Thames" w:eastAsia="Tahoma" w:cs="Noto Sans"/>
      <w:b/>
      <w:color w:val="000000"/>
      <w:spacing w:val="0"/>
      <w:kern w:val="0"/>
      <w:sz w:val="28"/>
      <w:szCs w:val="20"/>
      <w:lang w:val="ru-RU" w:eastAsia="zh-CN" w:bidi="hi-IN"/>
    </w:rPr>
  </w:style>
  <w:style w:type="paragraph" w:styleId="Heading3">
    <w:name w:val="heading 3"/>
    <w:next w:val="Normal"/>
    <w:qFormat/>
    <w:pPr>
      <w:widowControl/>
      <w:numPr>
        <w:ilvl w:val="0"/>
        <w:numId w:val="0"/>
      </w:numPr>
      <w:suppressAutoHyphens w:val="true"/>
      <w:overflowPunct w:val="false"/>
      <w:bidi w:val="0"/>
      <w:spacing w:lineRule="auto" w:line="240" w:before="120" w:after="120"/>
      <w:ind w:hanging="0" w:start="0" w:end="0"/>
      <w:jc w:val="both"/>
      <w:outlineLvl w:val="2"/>
    </w:pPr>
    <w:rPr>
      <w:rFonts w:ascii="XO Thames" w:hAnsi="XO Thames" w:eastAsia="Tahoma" w:cs="Noto Sans"/>
      <w:b/>
      <w:color w:val="000000"/>
      <w:spacing w:val="0"/>
      <w:kern w:val="0"/>
      <w:sz w:val="26"/>
      <w:szCs w:val="20"/>
      <w:lang w:val="ru-RU" w:eastAsia="zh-CN" w:bidi="hi-IN"/>
    </w:rPr>
  </w:style>
  <w:style w:type="paragraph" w:styleId="Heading4">
    <w:name w:val="heading 4"/>
    <w:next w:val="Normal"/>
    <w:qFormat/>
    <w:pPr>
      <w:widowControl/>
      <w:numPr>
        <w:ilvl w:val="0"/>
        <w:numId w:val="0"/>
      </w:numPr>
      <w:suppressAutoHyphens w:val="true"/>
      <w:overflowPunct w:val="false"/>
      <w:bidi w:val="0"/>
      <w:spacing w:lineRule="auto" w:line="240" w:before="120" w:after="120"/>
      <w:ind w:hanging="0" w:start="0" w:end="0"/>
      <w:jc w:val="both"/>
      <w:outlineLvl w:val="3"/>
    </w:pPr>
    <w:rPr>
      <w:rFonts w:ascii="XO Thames" w:hAnsi="XO Thames" w:eastAsia="Tahoma" w:cs="Noto Sans"/>
      <w:b/>
      <w:color w:val="000000"/>
      <w:spacing w:val="0"/>
      <w:kern w:val="0"/>
      <w:sz w:val="24"/>
      <w:szCs w:val="20"/>
      <w:lang w:val="ru-RU" w:eastAsia="zh-CN" w:bidi="hi-IN"/>
    </w:rPr>
  </w:style>
  <w:style w:type="paragraph" w:styleId="Heading5">
    <w:name w:val="heading 5"/>
    <w:next w:val="Normal"/>
    <w:qFormat/>
    <w:pPr>
      <w:widowControl/>
      <w:numPr>
        <w:ilvl w:val="0"/>
        <w:numId w:val="0"/>
      </w:numPr>
      <w:suppressAutoHyphens w:val="true"/>
      <w:overflowPunct w:val="false"/>
      <w:bidi w:val="0"/>
      <w:spacing w:lineRule="auto" w:line="240" w:before="120" w:after="120"/>
      <w:ind w:hanging="0" w:start="0" w:end="0"/>
      <w:jc w:val="both"/>
      <w:outlineLvl w:val="4"/>
    </w:pPr>
    <w:rPr>
      <w:rFonts w:ascii="XO Thames" w:hAnsi="XO Thames" w:eastAsia="Tahoma" w:cs="Noto Sans"/>
      <w:b/>
      <w:color w:val="000000"/>
      <w:spacing w:val="0"/>
      <w:kern w:val="0"/>
      <w:sz w:val="22"/>
      <w:szCs w:val="20"/>
      <w:lang w:val="ru-RU" w:eastAsia="zh-CN" w:bidi="hi-IN"/>
    </w:rPr>
  </w:style>
  <w:style w:type="character" w:styleId="Contents2">
    <w:name w:val="Contents 2"/>
    <w:qFormat/>
    <w:rPr>
      <w:rFonts w:ascii="XO Thames" w:hAnsi="XO Thames"/>
      <w:sz w:val="28"/>
    </w:rPr>
  </w:style>
  <w:style w:type="character" w:styleId="Contents4">
    <w:name w:val="Contents 4"/>
    <w:qFormat/>
    <w:rPr>
      <w:rFonts w:ascii="XO Thames" w:hAnsi="XO Thames"/>
      <w:sz w:val="28"/>
    </w:rPr>
  </w:style>
  <w:style w:type="character" w:styleId="Contents6">
    <w:name w:val="Contents 6"/>
    <w:qFormat/>
    <w:rPr>
      <w:rFonts w:ascii="XO Thames" w:hAnsi="XO Thames"/>
      <w:sz w:val="28"/>
    </w:rPr>
  </w:style>
  <w:style w:type="character" w:styleId="Contents7">
    <w:name w:val="Contents 7"/>
    <w:qFormat/>
    <w:rPr>
      <w:rFonts w:ascii="XO Thames" w:hAnsi="XO Thames"/>
      <w:sz w:val="28"/>
    </w:rPr>
  </w:style>
  <w:style w:type="character" w:styleId="Endnote">
    <w:name w:val="Endnote"/>
    <w:link w:val="Endnote1"/>
    <w:qFormat/>
    <w:rPr>
      <w:rFonts w:ascii="XO Thames" w:hAnsi="XO Thames"/>
      <w:sz w:val="22"/>
    </w:rPr>
  </w:style>
  <w:style w:type="character" w:styleId="Heading31">
    <w:name w:val="Heading 31"/>
    <w:qFormat/>
    <w:rPr>
      <w:rFonts w:ascii="XO Thames" w:hAnsi="XO Thames"/>
      <w:b/>
      <w:sz w:val="26"/>
    </w:rPr>
  </w:style>
  <w:style w:type="character" w:styleId="Contents3">
    <w:name w:val="Contents 3"/>
    <w:qFormat/>
    <w:rPr>
      <w:rFonts w:ascii="XO Thames" w:hAnsi="XO Thames"/>
      <w:sz w:val="28"/>
    </w:rPr>
  </w:style>
  <w:style w:type="character" w:styleId="Heading51">
    <w:name w:val="Heading 51"/>
    <w:qFormat/>
    <w:rPr>
      <w:rFonts w:ascii="XO Thames" w:hAnsi="XO Thames"/>
      <w:b/>
      <w:sz w:val="22"/>
    </w:rPr>
  </w:style>
  <w:style w:type="character" w:styleId="Heading11">
    <w:name w:val="Heading 11"/>
    <w:qFormat/>
    <w:rPr>
      <w:rFonts w:ascii="XO Thames" w:hAnsi="XO Thames"/>
      <w:b/>
      <w:sz w:val="32"/>
    </w:rPr>
  </w:style>
  <w:style w:type="character" w:styleId="Hyperlink">
    <w:name w:val="Hyperlink"/>
    <w:rPr>
      <w:color w:val="0000FF"/>
      <w:u w:val="single"/>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HeaderandFooter">
    <w:name w:val="Header and Footer"/>
    <w:qFormat/>
    <w:rPr>
      <w:rFonts w:ascii="XO Thames" w:hAnsi="XO Thames"/>
      <w:sz w:val="28"/>
    </w:rPr>
  </w:style>
  <w:style w:type="character" w:styleId="Contents9">
    <w:name w:val="Contents 9"/>
    <w:qFormat/>
    <w:rPr>
      <w:rFonts w:ascii="XO Thames" w:hAnsi="XO Thames"/>
      <w:sz w:val="28"/>
    </w:rPr>
  </w:style>
  <w:style w:type="character" w:styleId="Contents8">
    <w:name w:val="Contents 8"/>
    <w:qFormat/>
    <w:rPr>
      <w:rFonts w:ascii="XO Thames" w:hAnsi="XO Thames"/>
      <w:sz w:val="28"/>
    </w:rPr>
  </w:style>
  <w:style w:type="character" w:styleId="Contents5">
    <w:name w:val="Contents 5"/>
    <w:qFormat/>
    <w:rPr>
      <w:rFonts w:ascii="XO Thames" w:hAnsi="XO Thames"/>
      <w:sz w:val="28"/>
    </w:rPr>
  </w:style>
  <w:style w:type="character" w:styleId="Subtitle1">
    <w:name w:val="Subtitle1"/>
    <w:qFormat/>
    <w:rPr>
      <w:rFonts w:ascii="XO Thames" w:hAnsi="XO Thames"/>
      <w:i/>
      <w:sz w:val="24"/>
    </w:rPr>
  </w:style>
  <w:style w:type="character" w:styleId="Title1">
    <w:name w:val="Title1"/>
    <w:qFormat/>
    <w:rPr>
      <w:rFonts w:ascii="XO Thames" w:hAnsi="XO Thames"/>
      <w:b/>
      <w:caps/>
      <w:sz w:val="40"/>
    </w:rPr>
  </w:style>
  <w:style w:type="character" w:styleId="Heading41">
    <w:name w:val="Heading 41"/>
    <w:qFormat/>
    <w:rPr>
      <w:rFonts w:ascii="XO Thames" w:hAnsi="XO Thames"/>
      <w:b/>
      <w:sz w:val="24"/>
    </w:rPr>
  </w:style>
  <w:style w:type="character" w:styleId="Heading21">
    <w:name w:val="Heading 21"/>
    <w:qFormat/>
    <w:rPr>
      <w:rFonts w:ascii="XO Thames" w:hAnsi="XO Thames"/>
      <w:b/>
      <w:sz w:val="28"/>
    </w:rPr>
  </w:style>
  <w:style w:type="paragraph" w:styleId="Style9">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0">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TOC2">
    <w:name w:val="toc 2"/>
    <w:next w:val="Normal"/>
    <w:pPr>
      <w:widowControl/>
      <w:suppressAutoHyphens w:val="true"/>
      <w:overflowPunct w:val="false"/>
      <w:bidi w:val="0"/>
      <w:spacing w:lineRule="auto" w:line="240" w:before="0" w:after="0"/>
      <w:ind w:hanging="0" w:start="200" w:end="0"/>
      <w:jc w:val="start"/>
    </w:pPr>
    <w:rPr>
      <w:rFonts w:ascii="XO Thames" w:hAnsi="XO Thames" w:eastAsia="Tahoma" w:cs="Noto Sans"/>
      <w:color w:val="000000"/>
      <w:spacing w:val="0"/>
      <w:kern w:val="0"/>
      <w:sz w:val="28"/>
      <w:szCs w:val="20"/>
      <w:lang w:val="ru-RU" w:eastAsia="zh-CN" w:bidi="hi-IN"/>
    </w:rPr>
  </w:style>
  <w:style w:type="paragraph" w:styleId="TOC4">
    <w:name w:val="toc 4"/>
    <w:next w:val="Normal"/>
    <w:pPr>
      <w:widowControl/>
      <w:suppressAutoHyphens w:val="true"/>
      <w:overflowPunct w:val="false"/>
      <w:bidi w:val="0"/>
      <w:spacing w:lineRule="auto" w:line="240" w:before="0" w:after="0"/>
      <w:ind w:hanging="0" w:start="600" w:end="0"/>
      <w:jc w:val="start"/>
    </w:pPr>
    <w:rPr>
      <w:rFonts w:ascii="XO Thames" w:hAnsi="XO Thames" w:eastAsia="Tahoma" w:cs="Noto Sans"/>
      <w:color w:val="000000"/>
      <w:spacing w:val="0"/>
      <w:kern w:val="0"/>
      <w:sz w:val="28"/>
      <w:szCs w:val="20"/>
      <w:lang w:val="ru-RU" w:eastAsia="zh-CN" w:bidi="hi-IN"/>
    </w:rPr>
  </w:style>
  <w:style w:type="paragraph" w:styleId="TOC6">
    <w:name w:val="toc 6"/>
    <w:next w:val="Normal"/>
    <w:pPr>
      <w:widowControl/>
      <w:suppressAutoHyphens w:val="true"/>
      <w:overflowPunct w:val="false"/>
      <w:bidi w:val="0"/>
      <w:spacing w:lineRule="auto" w:line="240" w:before="0" w:after="0"/>
      <w:ind w:hanging="0" w:start="1000" w:end="0"/>
      <w:jc w:val="start"/>
    </w:pPr>
    <w:rPr>
      <w:rFonts w:ascii="XO Thames" w:hAnsi="XO Thames" w:eastAsia="Tahoma" w:cs="Noto Sans"/>
      <w:color w:val="000000"/>
      <w:spacing w:val="0"/>
      <w:kern w:val="0"/>
      <w:sz w:val="28"/>
      <w:szCs w:val="20"/>
      <w:lang w:val="ru-RU" w:eastAsia="zh-CN" w:bidi="hi-IN"/>
    </w:rPr>
  </w:style>
  <w:style w:type="paragraph" w:styleId="TOC7">
    <w:name w:val="toc 7"/>
    <w:next w:val="Normal"/>
    <w:pPr>
      <w:widowControl/>
      <w:suppressAutoHyphens w:val="true"/>
      <w:overflowPunct w:val="false"/>
      <w:bidi w:val="0"/>
      <w:spacing w:lineRule="auto" w:line="240" w:before="0" w:after="0"/>
      <w:ind w:hanging="0" w:start="1200" w:end="0"/>
      <w:jc w:val="start"/>
    </w:pPr>
    <w:rPr>
      <w:rFonts w:ascii="XO Thames" w:hAnsi="XO Thames" w:eastAsia="Tahoma" w:cs="Noto Sans"/>
      <w:color w:val="000000"/>
      <w:spacing w:val="0"/>
      <w:kern w:val="0"/>
      <w:sz w:val="28"/>
      <w:szCs w:val="20"/>
      <w:lang w:val="ru-RU" w:eastAsia="zh-CN" w:bidi="hi-IN"/>
    </w:rPr>
  </w:style>
  <w:style w:type="paragraph" w:styleId="Endnote1">
    <w:name w:val="Endnote1"/>
    <w:link w:val="Endnote"/>
    <w:qFormat/>
    <w:pPr>
      <w:widowControl/>
      <w:suppressAutoHyphens w:val="true"/>
      <w:overflowPunct w:val="false"/>
      <w:bidi w:val="0"/>
      <w:spacing w:lineRule="auto" w:line="240" w:before="0" w:after="0"/>
      <w:ind w:firstLine="851" w:start="0" w:end="0"/>
      <w:jc w:val="both"/>
    </w:pPr>
    <w:rPr>
      <w:rFonts w:ascii="XO Thames" w:hAnsi="XO Thames" w:eastAsia="Tahoma" w:cs="Noto Sans"/>
      <w:color w:val="000000"/>
      <w:spacing w:val="0"/>
      <w:kern w:val="0"/>
      <w:sz w:val="22"/>
      <w:szCs w:val="20"/>
      <w:lang w:val="ru-RU" w:eastAsia="zh-CN" w:bidi="hi-IN"/>
    </w:rPr>
  </w:style>
  <w:style w:type="paragraph" w:styleId="TOC3">
    <w:name w:val="toc 3"/>
    <w:next w:val="Normal"/>
    <w:pPr>
      <w:widowControl/>
      <w:suppressAutoHyphens w:val="true"/>
      <w:overflowPunct w:val="false"/>
      <w:bidi w:val="0"/>
      <w:spacing w:lineRule="auto" w:line="240" w:before="0" w:after="0"/>
      <w:ind w:hanging="0" w:start="400" w:end="0"/>
      <w:jc w:val="start"/>
    </w:pPr>
    <w:rPr>
      <w:rFonts w:ascii="XO Thames" w:hAnsi="XO Thames" w:eastAsia="Tahoma" w:cs="Noto Sans"/>
      <w:color w:val="000000"/>
      <w:spacing w:val="0"/>
      <w:kern w:val="0"/>
      <w:sz w:val="28"/>
      <w:szCs w:val="20"/>
      <w:lang w:val="ru-RU" w:eastAsia="zh-CN" w:bidi="hi-IN"/>
    </w:rPr>
  </w:style>
  <w:style w:type="paragraph" w:styleId="Internetlink">
    <w:name w:val="Internet link"/>
    <w:qFormat/>
    <w:pPr>
      <w:widowControl/>
      <w:suppressAutoHyphens w:val="true"/>
      <w:overflowPunct w:val="false"/>
      <w:bidi w:val="0"/>
      <w:spacing w:lineRule="auto" w:line="240" w:before="0" w:after="0"/>
      <w:ind w:hanging="0" w:start="0" w:end="0"/>
      <w:jc w:val="start"/>
    </w:pPr>
    <w:rPr>
      <w:rFonts w:ascii="XO Thames" w:hAnsi="XO Thames" w:eastAsia="Tahoma" w:cs="Noto Sans"/>
      <w:color w:val="0000FF"/>
      <w:spacing w:val="0"/>
      <w:kern w:val="0"/>
      <w:sz w:val="24"/>
      <w:szCs w:val="20"/>
      <w:u w:val="single"/>
      <w:lang w:val="ru-RU" w:eastAsia="zh-CN" w:bidi="hi-IN"/>
    </w:rPr>
  </w:style>
  <w:style w:type="paragraph" w:styleId="Footnote1">
    <w:name w:val="Footnote1"/>
    <w:link w:val="Footnote"/>
    <w:qFormat/>
    <w:pPr>
      <w:widowControl/>
      <w:suppressAutoHyphens w:val="true"/>
      <w:overflowPunct w:val="false"/>
      <w:bidi w:val="0"/>
      <w:spacing w:lineRule="auto" w:line="240" w:before="0" w:after="0"/>
      <w:ind w:firstLine="851" w:start="0" w:end="0"/>
      <w:jc w:val="both"/>
    </w:pPr>
    <w:rPr>
      <w:rFonts w:ascii="XO Thames" w:hAnsi="XO Thames" w:eastAsia="Tahoma" w:cs="Noto Sans"/>
      <w:color w:val="000000"/>
      <w:spacing w:val="0"/>
      <w:kern w:val="0"/>
      <w:sz w:val="22"/>
      <w:szCs w:val="20"/>
      <w:lang w:val="ru-RU" w:eastAsia="zh-CN" w:bidi="hi-IN"/>
    </w:rPr>
  </w:style>
  <w:style w:type="paragraph" w:styleId="TOC1">
    <w:name w:val="toc 1"/>
    <w:next w:val="Normal"/>
    <w:pPr>
      <w:widowControl/>
      <w:suppressAutoHyphens w:val="true"/>
      <w:overflowPunct w:val="false"/>
      <w:bidi w:val="0"/>
      <w:spacing w:lineRule="auto" w:line="240" w:before="0" w:after="0"/>
      <w:ind w:hanging="0" w:start="0" w:end="0"/>
      <w:jc w:val="start"/>
    </w:pPr>
    <w:rPr>
      <w:rFonts w:ascii="XO Thames" w:hAnsi="XO Thames" w:eastAsia="Tahoma" w:cs="Noto Sans"/>
      <w:b/>
      <w:color w:val="000000"/>
      <w:spacing w:val="0"/>
      <w:kern w:val="0"/>
      <w:sz w:val="28"/>
      <w:szCs w:val="20"/>
      <w:lang w:val="ru-RU" w:eastAsia="zh-CN" w:bidi="hi-IN"/>
    </w:rPr>
  </w:style>
  <w:style w:type="paragraph" w:styleId="user2">
    <w:name w:val="Колонтитулы (user)"/>
    <w:qFormat/>
    <w:pPr>
      <w:widowControl/>
      <w:suppressAutoHyphens w:val="true"/>
      <w:overflowPunct w:val="false"/>
      <w:bidi w:val="0"/>
      <w:spacing w:lineRule="auto" w:line="240" w:before="0" w:after="0"/>
      <w:ind w:hanging="0" w:start="0" w:end="0"/>
      <w:jc w:val="both"/>
    </w:pPr>
    <w:rPr>
      <w:rFonts w:ascii="XO Thames" w:hAnsi="XO Thames" w:eastAsia="Tahoma" w:cs="Noto Sans"/>
      <w:color w:val="000000"/>
      <w:spacing w:val="0"/>
      <w:kern w:val="0"/>
      <w:sz w:val="28"/>
      <w:szCs w:val="20"/>
      <w:lang w:val="ru-RU" w:eastAsia="zh-CN" w:bidi="hi-IN"/>
    </w:rPr>
  </w:style>
  <w:style w:type="paragraph" w:styleId="TOC9">
    <w:name w:val="toc 9"/>
    <w:next w:val="Normal"/>
    <w:pPr>
      <w:widowControl/>
      <w:suppressAutoHyphens w:val="true"/>
      <w:overflowPunct w:val="false"/>
      <w:bidi w:val="0"/>
      <w:spacing w:lineRule="auto" w:line="240" w:before="0" w:after="0"/>
      <w:ind w:hanging="0" w:start="1600" w:end="0"/>
      <w:jc w:val="start"/>
    </w:pPr>
    <w:rPr>
      <w:rFonts w:ascii="XO Thames" w:hAnsi="XO Thames" w:eastAsia="Tahoma" w:cs="Noto Sans"/>
      <w:color w:val="000000"/>
      <w:spacing w:val="0"/>
      <w:kern w:val="0"/>
      <w:sz w:val="28"/>
      <w:szCs w:val="20"/>
      <w:lang w:val="ru-RU" w:eastAsia="zh-CN" w:bidi="hi-IN"/>
    </w:rPr>
  </w:style>
  <w:style w:type="paragraph" w:styleId="TOC8">
    <w:name w:val="toc 8"/>
    <w:next w:val="Normal"/>
    <w:pPr>
      <w:widowControl/>
      <w:suppressAutoHyphens w:val="true"/>
      <w:overflowPunct w:val="false"/>
      <w:bidi w:val="0"/>
      <w:spacing w:lineRule="auto" w:line="240" w:before="0" w:after="0"/>
      <w:ind w:hanging="0" w:start="1400" w:end="0"/>
      <w:jc w:val="start"/>
    </w:pPr>
    <w:rPr>
      <w:rFonts w:ascii="XO Thames" w:hAnsi="XO Thames" w:eastAsia="Tahoma" w:cs="Noto Sans"/>
      <w:color w:val="000000"/>
      <w:spacing w:val="0"/>
      <w:kern w:val="0"/>
      <w:sz w:val="28"/>
      <w:szCs w:val="20"/>
      <w:lang w:val="ru-RU" w:eastAsia="zh-CN" w:bidi="hi-IN"/>
    </w:rPr>
  </w:style>
  <w:style w:type="paragraph" w:styleId="TOC5">
    <w:name w:val="toc 5"/>
    <w:next w:val="Normal"/>
    <w:pPr>
      <w:widowControl/>
      <w:suppressAutoHyphens w:val="true"/>
      <w:overflowPunct w:val="false"/>
      <w:bidi w:val="0"/>
      <w:spacing w:lineRule="auto" w:line="240" w:before="0" w:after="0"/>
      <w:ind w:hanging="0" w:start="800" w:end="0"/>
      <w:jc w:val="start"/>
    </w:pPr>
    <w:rPr>
      <w:rFonts w:ascii="XO Thames" w:hAnsi="XO Thames" w:eastAsia="Tahoma" w:cs="Noto Sans"/>
      <w:color w:val="000000"/>
      <w:spacing w:val="0"/>
      <w:kern w:val="0"/>
      <w:sz w:val="28"/>
      <w:szCs w:val="20"/>
      <w:lang w:val="ru-RU" w:eastAsia="zh-CN" w:bidi="hi-IN"/>
    </w:rPr>
  </w:style>
  <w:style w:type="paragraph" w:styleId="Subtitle">
    <w:name w:val="Subtitle"/>
    <w:next w:val="Normal"/>
    <w:qFormat/>
    <w:pPr>
      <w:widowControl/>
      <w:suppressAutoHyphens w:val="true"/>
      <w:overflowPunct w:val="false"/>
      <w:bidi w:val="0"/>
      <w:spacing w:lineRule="auto" w:line="240" w:before="0" w:after="0"/>
      <w:ind w:hanging="0" w:start="0" w:end="0"/>
      <w:jc w:val="both"/>
    </w:pPr>
    <w:rPr>
      <w:rFonts w:ascii="XO Thames" w:hAnsi="XO Thames" w:eastAsia="Tahoma" w:cs="Noto Sans"/>
      <w:i/>
      <w:color w:val="000000"/>
      <w:spacing w:val="0"/>
      <w:kern w:val="0"/>
      <w:sz w:val="24"/>
      <w:szCs w:val="20"/>
      <w:lang w:val="ru-RU" w:eastAsia="zh-CN" w:bidi="hi-IN"/>
    </w:rPr>
  </w:style>
  <w:style w:type="paragraph" w:styleId="Title">
    <w:name w:val="Title"/>
    <w:next w:val="Normal"/>
    <w:qFormat/>
    <w:pPr>
      <w:widowControl/>
      <w:suppressAutoHyphens w:val="true"/>
      <w:overflowPunct w:val="false"/>
      <w:bidi w:val="0"/>
      <w:spacing w:lineRule="auto" w:line="240" w:before="567" w:after="567"/>
      <w:ind w:hanging="0" w:start="0" w:end="0"/>
      <w:jc w:val="center"/>
    </w:pPr>
    <w:rPr>
      <w:rFonts w:ascii="XO Thames" w:hAnsi="XO Thames" w:eastAsia="Tahoma" w:cs="Noto Sans"/>
      <w:b/>
      <w:caps/>
      <w:color w:val="000000"/>
      <w:spacing w:val="0"/>
      <w:kern w:val="0"/>
      <w:sz w:val="40"/>
      <w:szCs w:val="20"/>
      <w:lang w:val="ru-RU" w:eastAsia="zh-CN" w:bidi="hi-IN"/>
    </w:rPr>
  </w:style>
  <w:style w:type="paragraph" w:styleId="ListParagraph">
    <w:name w:val="List Paragraph"/>
    <w:basedOn w:val="Normal"/>
    <w:qFormat/>
    <w:pPr>
      <w:spacing w:before="0" w:after="0"/>
      <w:ind w:hanging="0" w:start="720"/>
      <w:contextualSpacing/>
    </w:pPr>
    <w:rPr/>
  </w:style>
  <w:style w:type="paragraph" w:styleId="1">
    <w:name w:val="Основной текст с отступом1"/>
    <w:basedOn w:val="Normal"/>
    <w:qFormat/>
    <w:pPr>
      <w:widowControl w:val="false"/>
      <w:spacing w:lineRule="auto" w:line="240" w:before="0" w:after="120"/>
      <w:ind w:hanging="0" w:start="283"/>
      <w:jc w:val="start"/>
    </w:pPr>
    <w:rPr>
      <w:rFonts w:ascii="Calibri" w:hAnsi="Calibri"/>
      <w:sz w:val="22"/>
    </w:rPr>
  </w:style>
  <w:style w:type="paragraph" w:styleId="user3">
    <w:name w:val="Содержимое таблицы (user)"/>
    <w:basedOn w:val="Normal"/>
    <w:qFormat/>
    <w:pPr>
      <w:widowControl w:val="false"/>
      <w:suppressLineNumbers/>
    </w:pPr>
    <w:rPr/>
  </w:style>
  <w:style w:type="paragraph" w:styleId="user4">
    <w:name w:val="Заголовок таблицы (user)"/>
    <w:basedOn w:val="user3"/>
    <w:qFormat/>
    <w:pPr>
      <w:suppressLineNumbers/>
      <w:jc w:val="center"/>
    </w:pPr>
    <w:rPr>
      <w:b/>
      <w:bCs/>
    </w:rPr>
  </w:style>
  <w:style w:type="paragraph" w:styleId="user5">
    <w:name w:val="Содержимое врезки (user)"/>
    <w:basedOn w:val="Normal"/>
    <w:qFormat/>
    <w:pPr/>
    <w:rPr/>
  </w:style>
  <w:style w:type="paragraph" w:styleId="Style11">
    <w:name w:val="Содержимое врезки"/>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22</TotalTime>
  <Application>LibreOffice/25.8.0.4$Linux_X86_64 LibreOffice_project/48f00303701489684e67c38c28aff00cd5929e67</Application>
  <AppVersion>15.0000</AppVersion>
  <Pages>14</Pages>
  <Words>4691</Words>
  <Characters>33608</Characters>
  <CharactersWithSpaces>38796</CharactersWithSpaces>
  <Paragraphs>654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2025-07-25T09:04:47Z</dcterms:created>
  <dc:creator/>
  <dc:description/>
  <dc:language>ru-RU</dc:language>
  <cp:lastModifiedBy/>
  <dcterms:modified xsi:type="dcterms:W3CDTF">2026-05-26T16:32:24Z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